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F5" w:rsidRDefault="00FA2BF5">
      <w:pPr>
        <w:ind w:left="0" w:hanging="2"/>
      </w:pPr>
      <w:bookmarkStart w:id="0" w:name="_GoBack"/>
      <w:bookmarkEnd w:id="0"/>
    </w:p>
    <w:p w:rsidR="00FA2BF5" w:rsidRDefault="00221C62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Incoming student mobility</w:t>
      </w:r>
    </w:p>
    <w:p w:rsidR="00FA2BF5" w:rsidRDefault="00FA2BF5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FA2BF5" w:rsidRDefault="00221C62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UNIOS University Unit: Faculty of Dental Medicine and Health in Osijek</w:t>
      </w:r>
    </w:p>
    <w:p w:rsidR="00FA2BF5" w:rsidRDefault="00FA2BF5">
      <w:pPr>
        <w:spacing w:after="0" w:line="240" w:lineRule="auto"/>
        <w:ind w:left="0" w:hanging="2"/>
        <w:rPr>
          <w:sz w:val="24"/>
          <w:szCs w:val="24"/>
        </w:rPr>
      </w:pPr>
    </w:p>
    <w:p w:rsidR="00FA2BF5" w:rsidRDefault="00221C62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FA2BF5" w:rsidRDefault="00221C62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FA2BF5" w:rsidRDefault="00FA2BF5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A2BF5"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>Biology and Chemistry</w:t>
            </w:r>
          </w:p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Dental Medicine and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>Josip Juraj Strossmayer University of Osijek</w:t>
            </w:r>
          </w:p>
        </w:tc>
      </w:tr>
    </w:tbl>
    <w:p w:rsidR="00FA2BF5" w:rsidRDefault="00FA2BF5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Undergraduate Study in Physiotherapy</w:t>
            </w:r>
          </w:p>
        </w:tc>
      </w:tr>
    </w:tbl>
    <w:p w:rsidR="00FA2BF5" w:rsidRDefault="00FA2BF5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</w:t>
            </w:r>
          </w:p>
        </w:tc>
      </w:tr>
    </w:tbl>
    <w:p w:rsidR="00FA2BF5" w:rsidRDefault="00FA2BF5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FA2BF5" w:rsidRDefault="00FA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FA2BF5" w:rsidRDefault="00221C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Fundamentals of research</w:t>
            </w:r>
          </w:p>
          <w:p w:rsidR="00FA2BF5" w:rsidRDefault="00FA2BF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FA2BF5" w:rsidRDefault="00FA2BF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FA2BF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course description</w:t>
            </w:r>
          </w:p>
          <w:p w:rsidR="00FA2BF5" w:rsidRDefault="00FA2BF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FA2BF5" w:rsidRDefault="00221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mastering the content of the course the student will be able to:</w:t>
            </w:r>
          </w:p>
          <w:p w:rsidR="00FA2BF5" w:rsidRDefault="00221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name all the relevant elements of the research design as well as the research report, and compare and identify designs of different quality,</w:t>
            </w:r>
          </w:p>
          <w:p w:rsidR="00FA2BF5" w:rsidRDefault="00221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understand the importance of conducting research in the field of physiotherapy, and plan and conduct simpler re</w:t>
            </w:r>
            <w:r>
              <w:rPr>
                <w:sz w:val="24"/>
                <w:szCs w:val="24"/>
              </w:rPr>
              <w:t>search, describe and apply basic statistical methods and procedures, name and use different statistical procedures and compare them with respect to their advantages and disadvantages,</w:t>
            </w:r>
          </w:p>
          <w:p w:rsidR="00FA2BF5" w:rsidRDefault="00221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choose appropriate procedures depending on the type of data at their d</w:t>
            </w:r>
            <w:r>
              <w:rPr>
                <w:sz w:val="24"/>
                <w:szCs w:val="24"/>
              </w:rPr>
              <w:t xml:space="preserve">isposal, identify and describe the </w:t>
            </w:r>
            <w:r>
              <w:rPr>
                <w:sz w:val="24"/>
                <w:szCs w:val="24"/>
              </w:rPr>
              <w:lastRenderedPageBreak/>
              <w:t>characteristics of the data on a particular measurement scale,</w:t>
            </w:r>
          </w:p>
          <w:p w:rsidR="00FA2BF5" w:rsidRDefault="00221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process and interpret the data collected in the research,</w:t>
            </w:r>
          </w:p>
          <w:p w:rsidR="00FA2BF5" w:rsidRDefault="00221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enter, process and interpret data in an appropriate computer program for statistical data proces</w:t>
            </w:r>
            <w:r>
              <w:rPr>
                <w:sz w:val="24"/>
                <w:szCs w:val="24"/>
              </w:rPr>
              <w:t>sing,</w:t>
            </w:r>
          </w:p>
          <w:p w:rsidR="00FA2BF5" w:rsidRDefault="00221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follow the professional literature.</w:t>
            </w:r>
          </w:p>
          <w:p w:rsidR="00FA2BF5" w:rsidRDefault="00FA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 of teaching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class hours of Lectures (1 group)</w:t>
            </w:r>
          </w:p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class hours of Seminars (1 group)</w:t>
            </w:r>
          </w:p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class hours of exercises (2 groups)</w:t>
            </w: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and oral exam</w:t>
            </w: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</w:tr>
      <w:tr w:rsidR="00FA2BF5">
        <w:trPr>
          <w:trHeight w:val="567"/>
        </w:trPr>
        <w:tc>
          <w:tcPr>
            <w:tcW w:w="2988" w:type="dxa"/>
            <w:vAlign w:val="center"/>
          </w:tcPr>
          <w:p w:rsidR="00FA2BF5" w:rsidRDefault="00221C6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5868" w:type="dxa"/>
            <w:vAlign w:val="center"/>
          </w:tcPr>
          <w:p w:rsidR="00FA2BF5" w:rsidRDefault="00221C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Svjetlana Marić, PhD</w:t>
            </w:r>
          </w:p>
          <w:p w:rsidR="00FA2BF5" w:rsidRDefault="00221C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 professor Andrea Milostić-Srb, PhD</w:t>
            </w:r>
          </w:p>
          <w:p w:rsidR="00FA2BF5" w:rsidRDefault="00221C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Škrlec, PhD</w:t>
            </w:r>
          </w:p>
        </w:tc>
      </w:tr>
    </w:tbl>
    <w:p w:rsidR="00FA2BF5" w:rsidRDefault="00FA2BF5">
      <w:pPr>
        <w:ind w:left="0" w:hanging="2"/>
      </w:pPr>
    </w:p>
    <w:p w:rsidR="00FA2BF5" w:rsidRDefault="00221C62">
      <w:pPr>
        <w:tabs>
          <w:tab w:val="left" w:pos="2745"/>
        </w:tabs>
        <w:ind w:left="0" w:hanging="2"/>
      </w:pPr>
      <w:r>
        <w:tab/>
      </w:r>
    </w:p>
    <w:sectPr w:rsidR="00FA2BF5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62" w:rsidRDefault="00221C6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21C62" w:rsidRDefault="00221C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62" w:rsidRDefault="00221C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21C62" w:rsidRDefault="00221C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F5" w:rsidRDefault="00221C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0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F5"/>
    <w:rsid w:val="00084C72"/>
    <w:rsid w:val="00221C62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6D87-1B1A-498D-BD60-B869A021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2sbHiYsqiFspRq5IN2mhxhgPA==">AMUW2mUnuek8QUSnrSu/i+mD+alBrShwNjuj/7uJ6D+HdzhRGDGZiL2fAYXVDKCNi73tsGRvjQhRzJRK7/ENTaPRBZRUTLWG4bTrV/Cm1aLhmfrZ7JqSvT4=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2020-09-11T12:17:00Z</dcterms:created>
  <dcterms:modified xsi:type="dcterms:W3CDTF">2020-09-11T12:17:00Z</dcterms:modified>
</cp:coreProperties>
</file>