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EB320A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sz w:val="16"/>
          <w:szCs w:val="16"/>
        </w:rPr>
      </w:pPr>
    </w:p>
    <w:p w:rsidR="00C546FC" w:rsidRPr="00220FD9" w:rsidRDefault="00C546FC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Name of </w:t>
      </w:r>
      <w:r w:rsidR="00745728"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 w:rsidR="00C03FAD">
        <w:rPr>
          <w:rStyle w:val="Naglaeno"/>
          <w:rFonts w:ascii="Calibri" w:hAnsi="Calibri" w:cs="Calibri"/>
          <w:u w:val="single"/>
        </w:rPr>
        <w:t>Mechanical Engineering Faculty in Slavonski Brod</w:t>
      </w:r>
    </w:p>
    <w:p w:rsidR="00C546FC" w:rsidRPr="00EB320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16"/>
          <w:szCs w:val="16"/>
        </w:rPr>
      </w:pP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:rsidR="00C546FC" w:rsidRPr="00EB320A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:rsidTr="009F2D4E">
        <w:tc>
          <w:tcPr>
            <w:tcW w:w="2988" w:type="dxa"/>
          </w:tcPr>
          <w:p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  <w:vAlign w:val="center"/>
          </w:tcPr>
          <w:p w:rsidR="005423EE" w:rsidRPr="00204AE2" w:rsidRDefault="005423EE" w:rsidP="00322DAD">
            <w:pPr>
              <w:autoSpaceDE w:val="0"/>
              <w:autoSpaceDN w:val="0"/>
              <w:adjustRightInd w:val="0"/>
              <w:rPr>
                <w:rStyle w:val="Naglaeno"/>
                <w:rFonts w:asciiTheme="minorHAnsi" w:hAnsiTheme="minorHAnsi"/>
                <w:b w:val="0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Department </w:t>
            </w:r>
            <w:r w:rsidR="00322DAD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of</w:t>
            </w:r>
            <w:r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Industrial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Engineering</w:t>
            </w:r>
          </w:p>
        </w:tc>
      </w:tr>
    </w:tbl>
    <w:p w:rsidR="00C546FC" w:rsidRPr="00EB320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:rsidTr="009F2D4E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C03FAD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Mechanical Engineering</w:t>
            </w:r>
          </w:p>
        </w:tc>
      </w:tr>
    </w:tbl>
    <w:p w:rsidR="00C546FC" w:rsidRPr="00EB320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 w:rsidTr="009F2D4E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2B15C1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</w:tc>
      </w:tr>
    </w:tbl>
    <w:p w:rsidR="00C546FC" w:rsidRPr="00EB320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9F2D4E" w:rsidRDefault="005423EE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sz w:val="20"/>
                <w:szCs w:val="20"/>
              </w:rPr>
              <w:t>Rapid Prototyping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F54137" w:rsidP="005423EE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</w:t>
            </w:r>
            <w:r w:rsidR="009F2D4E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5423EE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1001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C03FAD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C546FC" w:rsidRPr="005423EE" w:rsidRDefault="005423EE" w:rsidP="005423EE">
            <w:pPr>
              <w:autoSpaceDE w:val="0"/>
              <w:autoSpaceDN w:val="0"/>
              <w:adjustRightInd w:val="0"/>
              <w:jc w:val="both"/>
              <w:rPr>
                <w:rStyle w:val="Naglaeno"/>
                <w:rFonts w:asciiTheme="minorHAnsi" w:hAnsiTheme="minorHAnsi"/>
                <w:b w:val="0"/>
                <w:bCs w:val="0"/>
                <w:sz w:val="20"/>
                <w:szCs w:val="20"/>
                <w:lang w:val="hr-HR" w:eastAsia="hr-HR"/>
              </w:rPr>
            </w:pPr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The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students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are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introduced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fundamentals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of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modern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rapid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prototyping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process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.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Since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prototype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production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is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the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most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important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part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of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the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product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design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process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concept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project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, </w:t>
            </w:r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design,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dimension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),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the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course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Rapid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Prototyping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(RP)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will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introduce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students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current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procedures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that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are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used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for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rapid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development </w:t>
            </w:r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of</w:t>
            </w:r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prototypes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or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products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.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Students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will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acquire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theoretical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>and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practical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basic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knowledge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through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discussions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) for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its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efficient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application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 xml:space="preserve"> in </w:t>
            </w:r>
            <w:proofErr w:type="spellStart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industry</w:t>
            </w:r>
            <w:proofErr w:type="spellEnd"/>
            <w:r w:rsidRPr="005423EE">
              <w:rPr>
                <w:rFonts w:asciiTheme="minorHAnsi" w:hAnsiTheme="minorHAnsi"/>
                <w:sz w:val="20"/>
                <w:szCs w:val="20"/>
                <w:lang w:val="hr-HR" w:eastAsia="hr-HR"/>
              </w:rPr>
              <w:t>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5423EE" w:rsidRDefault="00E72FFA" w:rsidP="005423EE">
            <w:pPr>
              <w:autoSpaceDE w:val="0"/>
              <w:autoSpaceDN w:val="0"/>
              <w:adjustRightInd w:val="0"/>
              <w:jc w:val="both"/>
              <w:rPr>
                <w:rStyle w:val="Naglaeno"/>
                <w:rFonts w:asciiTheme="minorHAnsi" w:hAnsiTheme="minorHAnsi"/>
                <w:bCs w:val="0"/>
                <w:color w:val="000000" w:themeColor="text1"/>
                <w:sz w:val="20"/>
                <w:szCs w:val="20"/>
                <w:lang w:val="hr-HR" w:eastAsia="hr-HR"/>
              </w:rPr>
            </w:pP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Lectures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and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exercises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. 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Auditory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and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laboratory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exercises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on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computers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with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the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continuous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monitoring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and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evaluation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.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Available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possibility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to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remotely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and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interactively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attend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lectures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over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the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Internet.</w:t>
            </w:r>
            <w:bookmarkStart w:id="0" w:name="_GoBack"/>
            <w:bookmarkEnd w:id="0"/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5423EE" w:rsidRDefault="00E72FFA" w:rsidP="005423EE">
            <w:pPr>
              <w:autoSpaceDE w:val="0"/>
              <w:autoSpaceDN w:val="0"/>
              <w:adjustRightInd w:val="0"/>
              <w:jc w:val="both"/>
              <w:rPr>
                <w:rStyle w:val="Naglaeno"/>
                <w:rFonts w:asciiTheme="minorHAnsi" w:hAnsiTheme="minorHAnsi"/>
                <w:bCs w:val="0"/>
                <w:color w:val="000000" w:themeColor="text1"/>
                <w:sz w:val="20"/>
                <w:szCs w:val="20"/>
                <w:lang w:val="hr-HR" w:eastAsia="hr-HR"/>
              </w:rPr>
            </w:pP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Continuous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monitoring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and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evaluation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and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pass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the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tests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of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knowledge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 (program,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seminars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colloquia</w:t>
            </w:r>
            <w:proofErr w:type="spellEnd"/>
            <w:r w:rsidRPr="00E72FFA">
              <w:rPr>
                <w:rFonts w:asciiTheme="minorHAnsi" w:hAnsiTheme="minorHAnsi"/>
                <w:bCs/>
                <w:sz w:val="20"/>
                <w:szCs w:val="20"/>
                <w:lang w:val="hr-HR" w:eastAsia="hr-HR"/>
              </w:rPr>
              <w:t>, test).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DB0159" w:rsidRDefault="005423EE" w:rsidP="00DB015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Style w:val="Naglaeno"/>
                <w:rFonts w:asciiTheme="minorHAnsi" w:hAnsiTheme="minorHAnsi" w:cs="Calibri"/>
                <w:color w:val="000000" w:themeColor="text1"/>
                <w:sz w:val="20"/>
                <w:szCs w:val="20"/>
              </w:rPr>
              <w:t>4</w:t>
            </w:r>
            <w:r w:rsidR="00E32DD2">
              <w:rPr>
                <w:rStyle w:val="Naglaeno"/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(5)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DB0159" w:rsidRDefault="00C03FAD" w:rsidP="00DB015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</w:pPr>
            <w:r w:rsidRPr="00DB0159"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 xml:space="preserve">2 </w:t>
            </w:r>
            <w:r w:rsidR="009F2D4E" w:rsidRPr="00DB0159"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 xml:space="preserve">hours of </w:t>
            </w:r>
            <w:r w:rsidRPr="00DB0159"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 xml:space="preserve">lectures + </w:t>
            </w:r>
            <w:r w:rsidR="00F54137" w:rsidRPr="00DB0159"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>2</w:t>
            </w:r>
            <w:r w:rsidRPr="00DB0159"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F2D4E" w:rsidRPr="00DB0159"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 xml:space="preserve">hours of </w:t>
            </w:r>
            <w:r w:rsidRPr="00DB0159"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>exercises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C546FC" w:rsidRPr="00DB0159" w:rsidRDefault="005423EE" w:rsidP="00DB015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DB0159" w:rsidRDefault="005423EE" w:rsidP="00DB015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>Summer</w:t>
            </w:r>
            <w:r w:rsidR="00DB7407" w:rsidRPr="00DB0159">
              <w:rPr>
                <w:rStyle w:val="Naglaeno"/>
                <w:rFonts w:asciiTheme="minorHAnsi" w:hAnsiTheme="minorHAnsi" w:cs="Calibri"/>
                <w:b w:val="0"/>
                <w:color w:val="000000" w:themeColor="text1"/>
                <w:sz w:val="20"/>
                <w:szCs w:val="20"/>
              </w:rPr>
              <w:t xml:space="preserve"> semester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E72FFA" w:rsidRDefault="00E72FFA" w:rsidP="005423EE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0"/>
                <w:szCs w:val="20"/>
                <w:lang w:val="hr-HR" w:eastAsia="hr-HR"/>
              </w:rPr>
            </w:pPr>
            <w:proofErr w:type="spellStart"/>
            <w:r w:rsidRPr="005423EE">
              <w:rPr>
                <w:rFonts w:asciiTheme="minorHAnsi" w:hAnsiTheme="minorHAnsi"/>
                <w:iCs/>
                <w:sz w:val="20"/>
                <w:szCs w:val="20"/>
                <w:lang w:val="hr-HR" w:eastAsia="hr-HR"/>
              </w:rPr>
              <w:t>Assoc</w:t>
            </w:r>
            <w:proofErr w:type="spellEnd"/>
            <w:r w:rsidRPr="005423EE">
              <w:rPr>
                <w:rFonts w:asciiTheme="minorHAnsi" w:hAnsiTheme="minorHAnsi"/>
                <w:iCs/>
                <w:sz w:val="20"/>
                <w:szCs w:val="20"/>
                <w:lang w:val="hr-HR" w:eastAsia="hr-HR"/>
              </w:rPr>
              <w:t>. Prof. Dr. Tomislav Galeta</w:t>
            </w:r>
          </w:p>
          <w:p w:rsidR="00C546FC" w:rsidRPr="00E72FFA" w:rsidRDefault="005423EE" w:rsidP="00E72FFA">
            <w:pPr>
              <w:autoSpaceDE w:val="0"/>
              <w:autoSpaceDN w:val="0"/>
              <w:adjustRightInd w:val="0"/>
              <w:rPr>
                <w:rStyle w:val="Naglaeno"/>
                <w:rFonts w:asciiTheme="minorHAnsi" w:hAnsiTheme="minorHAnsi"/>
                <w:b w:val="0"/>
                <w:bCs w:val="0"/>
                <w:iCs/>
                <w:sz w:val="20"/>
                <w:szCs w:val="20"/>
                <w:lang w:val="hr-HR" w:eastAsia="hr-HR"/>
              </w:rPr>
            </w:pPr>
            <w:proofErr w:type="spellStart"/>
            <w:r w:rsidRPr="005423EE">
              <w:rPr>
                <w:rFonts w:asciiTheme="minorHAnsi" w:hAnsiTheme="minorHAnsi"/>
                <w:iCs/>
                <w:sz w:val="20"/>
                <w:szCs w:val="20"/>
                <w:lang w:val="hr-HR" w:eastAsia="hr-HR"/>
              </w:rPr>
              <w:t>Full</w:t>
            </w:r>
            <w:proofErr w:type="spellEnd"/>
            <w:r w:rsidRPr="005423EE">
              <w:rPr>
                <w:rFonts w:asciiTheme="minorHAnsi" w:hAnsiTheme="minorHAnsi"/>
                <w:iCs/>
                <w:sz w:val="20"/>
                <w:szCs w:val="20"/>
                <w:lang w:val="hr-HR" w:eastAsia="hr-HR"/>
              </w:rPr>
              <w:t xml:space="preserve"> Prof. Dr. Pero Raos</w:t>
            </w:r>
          </w:p>
        </w:tc>
      </w:tr>
    </w:tbl>
    <w:p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D0" w:rsidRDefault="005B0BD0" w:rsidP="00220FD9">
      <w:r>
        <w:separator/>
      </w:r>
    </w:p>
  </w:endnote>
  <w:endnote w:type="continuationSeparator" w:id="0">
    <w:p w:rsidR="005B0BD0" w:rsidRDefault="005B0BD0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D0" w:rsidRDefault="005B0BD0" w:rsidP="00220FD9">
      <w:r>
        <w:separator/>
      </w:r>
    </w:p>
  </w:footnote>
  <w:footnote w:type="continuationSeparator" w:id="0">
    <w:p w:rsidR="005B0BD0" w:rsidRDefault="005B0BD0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FF36EA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69620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103"/>
    <w:rsid w:val="000118CA"/>
    <w:rsid w:val="0015015E"/>
    <w:rsid w:val="00174FF3"/>
    <w:rsid w:val="0017508D"/>
    <w:rsid w:val="001C7718"/>
    <w:rsid w:val="00204AE2"/>
    <w:rsid w:val="00220FD9"/>
    <w:rsid w:val="00222443"/>
    <w:rsid w:val="00256B84"/>
    <w:rsid w:val="00262103"/>
    <w:rsid w:val="0026540C"/>
    <w:rsid w:val="002B15C1"/>
    <w:rsid w:val="002C1F2A"/>
    <w:rsid w:val="00322DAD"/>
    <w:rsid w:val="00342147"/>
    <w:rsid w:val="003428DA"/>
    <w:rsid w:val="00434808"/>
    <w:rsid w:val="004C06B1"/>
    <w:rsid w:val="004F1E38"/>
    <w:rsid w:val="005423EE"/>
    <w:rsid w:val="00557C88"/>
    <w:rsid w:val="005B0BD0"/>
    <w:rsid w:val="005C36E5"/>
    <w:rsid w:val="005D08C1"/>
    <w:rsid w:val="005D32CC"/>
    <w:rsid w:val="005D491B"/>
    <w:rsid w:val="006168C4"/>
    <w:rsid w:val="006E6192"/>
    <w:rsid w:val="00703630"/>
    <w:rsid w:val="00736619"/>
    <w:rsid w:val="00745728"/>
    <w:rsid w:val="00754F80"/>
    <w:rsid w:val="007D2A9A"/>
    <w:rsid w:val="007E1810"/>
    <w:rsid w:val="0083394E"/>
    <w:rsid w:val="00875BD9"/>
    <w:rsid w:val="008A53BC"/>
    <w:rsid w:val="008D3182"/>
    <w:rsid w:val="00990D6D"/>
    <w:rsid w:val="009C6000"/>
    <w:rsid w:val="009F2D4E"/>
    <w:rsid w:val="00A07376"/>
    <w:rsid w:val="00A154B2"/>
    <w:rsid w:val="00A234D8"/>
    <w:rsid w:val="00A25FB5"/>
    <w:rsid w:val="00A73053"/>
    <w:rsid w:val="00B05690"/>
    <w:rsid w:val="00B923B6"/>
    <w:rsid w:val="00C03FAD"/>
    <w:rsid w:val="00C0575E"/>
    <w:rsid w:val="00C5011D"/>
    <w:rsid w:val="00C546FC"/>
    <w:rsid w:val="00C74F3E"/>
    <w:rsid w:val="00CD2543"/>
    <w:rsid w:val="00CF5220"/>
    <w:rsid w:val="00D00BC0"/>
    <w:rsid w:val="00D607C3"/>
    <w:rsid w:val="00D92DEE"/>
    <w:rsid w:val="00DB0159"/>
    <w:rsid w:val="00DB2678"/>
    <w:rsid w:val="00DB7407"/>
    <w:rsid w:val="00DF2874"/>
    <w:rsid w:val="00E32DD2"/>
    <w:rsid w:val="00E72FFA"/>
    <w:rsid w:val="00EB0BF2"/>
    <w:rsid w:val="00EB320A"/>
    <w:rsid w:val="00F54137"/>
    <w:rsid w:val="00FC46D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BB320"/>
  <w15:docId w15:val="{1EA55F28-673A-4B74-B170-EC7FDFA5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78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paragraph" w:styleId="Tekstbalonia">
    <w:name w:val="Balloon Text"/>
    <w:basedOn w:val="Normal"/>
    <w:link w:val="TekstbaloniaChar"/>
    <w:rsid w:val="00C03F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03FA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Tomislav Galeta</cp:lastModifiedBy>
  <cp:revision>7</cp:revision>
  <cp:lastPrinted>2014-03-06T11:31:00Z</cp:lastPrinted>
  <dcterms:created xsi:type="dcterms:W3CDTF">2014-03-06T10:09:00Z</dcterms:created>
  <dcterms:modified xsi:type="dcterms:W3CDTF">2019-09-19T09:54:00Z</dcterms:modified>
</cp:coreProperties>
</file>