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F5" w:rsidRDefault="009C05F5">
      <w:pPr>
        <w:ind w:left="0" w:hanging="2"/>
      </w:pPr>
      <w:bookmarkStart w:id="0" w:name="_GoBack"/>
      <w:bookmarkEnd w:id="0"/>
    </w:p>
    <w:p w:rsidR="009C05F5" w:rsidRDefault="00141217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Incoming student mobility</w:t>
      </w:r>
    </w:p>
    <w:p w:rsidR="009C05F5" w:rsidRDefault="009C05F5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9C05F5" w:rsidRDefault="00141217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UNIOS University Unit: Faculty of Dental Medicine and Health in Osijek</w:t>
      </w:r>
    </w:p>
    <w:p w:rsidR="009C05F5" w:rsidRDefault="009C05F5">
      <w:pPr>
        <w:spacing w:after="0" w:line="240" w:lineRule="auto"/>
        <w:ind w:left="0" w:hanging="2"/>
        <w:rPr>
          <w:sz w:val="24"/>
          <w:szCs w:val="24"/>
        </w:rPr>
      </w:pPr>
    </w:p>
    <w:p w:rsidR="009C05F5" w:rsidRDefault="00141217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9C05F5" w:rsidRDefault="00141217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9C05F5" w:rsidRDefault="009C05F5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b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9C05F5">
        <w:tc>
          <w:tcPr>
            <w:tcW w:w="298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of </w:t>
            </w:r>
            <w:r>
              <w:rPr>
                <w:sz w:val="24"/>
                <w:szCs w:val="24"/>
              </w:rPr>
              <w:t>Clinical medicine</w:t>
            </w:r>
          </w:p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Faculty of Dental Medicine and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>Josip Juraj Strossmayer University of Osijek</w:t>
            </w:r>
          </w:p>
        </w:tc>
      </w:tr>
    </w:tbl>
    <w:p w:rsidR="009C05F5" w:rsidRDefault="009C05F5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c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9C05F5">
        <w:trPr>
          <w:trHeight w:val="567"/>
        </w:trPr>
        <w:tc>
          <w:tcPr>
            <w:tcW w:w="298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Undergraduate Study in Physiotherapy</w:t>
            </w:r>
          </w:p>
        </w:tc>
      </w:tr>
    </w:tbl>
    <w:p w:rsidR="009C05F5" w:rsidRDefault="009C05F5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d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9C05F5">
        <w:trPr>
          <w:trHeight w:val="567"/>
        </w:trPr>
        <w:tc>
          <w:tcPr>
            <w:tcW w:w="298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year</w:t>
            </w:r>
          </w:p>
        </w:tc>
      </w:tr>
    </w:tbl>
    <w:p w:rsidR="009C05F5" w:rsidRDefault="009C05F5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e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9C05F5">
        <w:trPr>
          <w:trHeight w:val="567"/>
        </w:trPr>
        <w:tc>
          <w:tcPr>
            <w:tcW w:w="298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9C05F5" w:rsidRDefault="009C0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9C05F5" w:rsidRDefault="001412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for people with disabilities</w:t>
            </w:r>
          </w:p>
          <w:p w:rsidR="009C05F5" w:rsidRDefault="009C05F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9C05F5">
        <w:trPr>
          <w:trHeight w:val="567"/>
        </w:trPr>
        <w:tc>
          <w:tcPr>
            <w:tcW w:w="298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9C05F5" w:rsidRDefault="009C05F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9C05F5">
        <w:trPr>
          <w:trHeight w:val="567"/>
        </w:trPr>
        <w:tc>
          <w:tcPr>
            <w:tcW w:w="298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9C05F5">
        <w:trPr>
          <w:trHeight w:val="567"/>
        </w:trPr>
        <w:tc>
          <w:tcPr>
            <w:tcW w:w="2988" w:type="dxa"/>
            <w:vAlign w:val="center"/>
          </w:tcPr>
          <w:p w:rsidR="009C05F5" w:rsidRDefault="009C05F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course description</w:t>
            </w:r>
          </w:p>
          <w:p w:rsidR="009C05F5" w:rsidRDefault="009C05F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9C05F5" w:rsidRDefault="00141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Acquiring additional knowledge necessary for participation in team work and professional and responsible exercise of physiotherapy. By mastering the content of the course the student will be able to: recognize and name the role of sport for persons with di</w:t>
            </w:r>
            <w:r>
              <w:rPr>
                <w:sz w:val="24"/>
                <w:szCs w:val="24"/>
              </w:rPr>
              <w:t>sabilities, define the laws and principles of sport of persons with disabilities, actively participate in the planning of sports activities of persons with disabilities.</w:t>
            </w:r>
          </w:p>
        </w:tc>
      </w:tr>
      <w:tr w:rsidR="009C05F5">
        <w:trPr>
          <w:trHeight w:val="567"/>
        </w:trPr>
        <w:tc>
          <w:tcPr>
            <w:tcW w:w="298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class hours of Lectures (1 group)</w:t>
            </w:r>
          </w:p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class hours of Seminars (1 g</w:t>
            </w:r>
            <w:r>
              <w:rPr>
                <w:sz w:val="24"/>
                <w:szCs w:val="24"/>
              </w:rPr>
              <w:t>roup)</w:t>
            </w:r>
          </w:p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class hours of exercises (1 groups)</w:t>
            </w:r>
          </w:p>
        </w:tc>
      </w:tr>
      <w:tr w:rsidR="009C05F5">
        <w:trPr>
          <w:trHeight w:val="567"/>
        </w:trPr>
        <w:tc>
          <w:tcPr>
            <w:tcW w:w="298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and oral exam</w:t>
            </w:r>
          </w:p>
        </w:tc>
      </w:tr>
      <w:tr w:rsidR="009C05F5">
        <w:trPr>
          <w:trHeight w:val="567"/>
        </w:trPr>
        <w:tc>
          <w:tcPr>
            <w:tcW w:w="298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05F5">
        <w:trPr>
          <w:trHeight w:val="567"/>
        </w:trPr>
        <w:tc>
          <w:tcPr>
            <w:tcW w:w="298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C05F5">
        <w:trPr>
          <w:trHeight w:val="567"/>
        </w:trPr>
        <w:tc>
          <w:tcPr>
            <w:tcW w:w="298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C05F5">
        <w:trPr>
          <w:trHeight w:val="567"/>
        </w:trPr>
        <w:tc>
          <w:tcPr>
            <w:tcW w:w="298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</w:tr>
      <w:tr w:rsidR="009C05F5">
        <w:trPr>
          <w:trHeight w:val="567"/>
        </w:trPr>
        <w:tc>
          <w:tcPr>
            <w:tcW w:w="2988" w:type="dxa"/>
            <w:vAlign w:val="center"/>
          </w:tcPr>
          <w:p w:rsidR="009C05F5" w:rsidRDefault="00141217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  <w:tc>
          <w:tcPr>
            <w:tcW w:w="5868" w:type="dxa"/>
            <w:vAlign w:val="center"/>
          </w:tcPr>
          <w:p w:rsidR="009C05F5" w:rsidRDefault="001412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Ljubomir Pribić, Lecturer</w:t>
            </w:r>
          </w:p>
        </w:tc>
      </w:tr>
    </w:tbl>
    <w:p w:rsidR="009C05F5" w:rsidRDefault="009C05F5">
      <w:pPr>
        <w:ind w:left="0" w:hanging="2"/>
      </w:pPr>
    </w:p>
    <w:p w:rsidR="009C05F5" w:rsidRDefault="00141217">
      <w:pPr>
        <w:tabs>
          <w:tab w:val="left" w:pos="2745"/>
        </w:tabs>
        <w:ind w:left="0" w:hanging="2"/>
      </w:pPr>
      <w:r>
        <w:tab/>
      </w:r>
    </w:p>
    <w:sectPr w:rsidR="009C05F5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17" w:rsidRDefault="0014121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41217" w:rsidRDefault="0014121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17" w:rsidRDefault="0014121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41217" w:rsidRDefault="0014121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F5" w:rsidRDefault="001412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29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F5"/>
    <w:rsid w:val="00141217"/>
    <w:rsid w:val="009C05F5"/>
    <w:rsid w:val="00A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6D05C-0879-46C8-B2CC-AC511606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8caGLYNhemnWvcQ7aD8WL5wTGQ==">AMUW2mVQb5uqnEweR1inMmdWnxMfwIldUi/8iv1glIF1A19U+8dxJqzW7qX01Z9eL2RdQAj/XafjYD9SvsPEH5QmaTUwRcU4t9JQaqVwFAQTMNN2CI2zmW4=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2020-09-11T12:28:00Z</dcterms:created>
  <dcterms:modified xsi:type="dcterms:W3CDTF">2020-09-11T12:28:00Z</dcterms:modified>
</cp:coreProperties>
</file>