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418"/>
        <w:gridCol w:w="708"/>
        <w:gridCol w:w="993"/>
        <w:gridCol w:w="2040"/>
        <w:gridCol w:w="1482"/>
        <w:gridCol w:w="663"/>
        <w:gridCol w:w="551"/>
      </w:tblGrid>
      <w:tr w:rsidR="00A57DEA" w:rsidRPr="009018D1" w:rsidTr="007748D3">
        <w:trPr>
          <w:cantSplit/>
          <w:trHeight w:val="369"/>
        </w:trPr>
        <w:tc>
          <w:tcPr>
            <w:tcW w:w="1838" w:type="dxa"/>
            <w:shd w:val="clear" w:color="auto" w:fill="D9D9D9"/>
          </w:tcPr>
          <w:p w:rsidR="00A57DEA" w:rsidRPr="009018D1" w:rsidRDefault="00A57DEA" w:rsidP="007748D3">
            <w:pPr>
              <w:rPr>
                <w:rFonts w:ascii="Cambria" w:hAnsi="Cambria"/>
                <w:b/>
                <w:sz w:val="20"/>
                <w:szCs w:val="20"/>
                <w:lang w:val="en-GB"/>
              </w:rPr>
            </w:pPr>
            <w:r w:rsidRPr="009018D1">
              <w:rPr>
                <w:rFonts w:ascii="Cambria" w:hAnsi="Cambria"/>
                <w:b/>
                <w:sz w:val="20"/>
                <w:szCs w:val="20"/>
                <w:lang w:val="en-GB"/>
              </w:rPr>
              <w:t>Course title</w:t>
            </w:r>
          </w:p>
        </w:tc>
        <w:tc>
          <w:tcPr>
            <w:tcW w:w="7855" w:type="dxa"/>
            <w:gridSpan w:val="7"/>
          </w:tcPr>
          <w:p w:rsidR="00A57DEA" w:rsidRPr="009018D1" w:rsidRDefault="00A57DEA" w:rsidP="007748D3">
            <w:pPr>
              <w:jc w:val="center"/>
              <w:rPr>
                <w:rFonts w:ascii="Cambria" w:hAnsi="Cambria"/>
                <w:b/>
                <w:caps/>
                <w:sz w:val="20"/>
                <w:szCs w:val="20"/>
                <w:lang w:val="en-GB"/>
              </w:rPr>
            </w:pPr>
            <w:r w:rsidRPr="009018D1">
              <w:rPr>
                <w:rFonts w:ascii="Cambria" w:hAnsi="Cambria"/>
                <w:b/>
                <w:caps/>
                <w:sz w:val="20"/>
                <w:szCs w:val="20"/>
                <w:lang w:val="en-GB"/>
              </w:rPr>
              <w:t>Pastoral Challenges in the Dictatorship of Relativism</w:t>
            </w:r>
          </w:p>
        </w:tc>
      </w:tr>
      <w:tr w:rsidR="00A57DEA" w:rsidRPr="009018D1" w:rsidTr="007748D3">
        <w:trPr>
          <w:cantSplit/>
          <w:trHeight w:val="369"/>
        </w:trPr>
        <w:tc>
          <w:tcPr>
            <w:tcW w:w="1838" w:type="dxa"/>
            <w:shd w:val="clear" w:color="auto" w:fill="D9D9D9"/>
          </w:tcPr>
          <w:p w:rsidR="00A57DEA" w:rsidRPr="009018D1" w:rsidRDefault="00A57DEA" w:rsidP="007748D3">
            <w:pPr>
              <w:rPr>
                <w:rFonts w:ascii="Cambria" w:hAnsi="Cambria"/>
                <w:b/>
                <w:sz w:val="20"/>
                <w:szCs w:val="20"/>
                <w:lang w:val="en-GB"/>
              </w:rPr>
            </w:pPr>
            <w:r w:rsidRPr="009018D1">
              <w:rPr>
                <w:rFonts w:ascii="Cambria" w:hAnsi="Cambria"/>
                <w:b/>
                <w:sz w:val="20"/>
                <w:szCs w:val="20"/>
                <w:lang w:val="en-GB"/>
              </w:rPr>
              <w:t>Course director</w:t>
            </w:r>
          </w:p>
        </w:tc>
        <w:tc>
          <w:tcPr>
            <w:tcW w:w="7855" w:type="dxa"/>
            <w:gridSpan w:val="7"/>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 xml:space="preserve">Assist. </w:t>
            </w:r>
            <w:proofErr w:type="spellStart"/>
            <w:r w:rsidRPr="009018D1">
              <w:rPr>
                <w:rFonts w:ascii="Cambria" w:hAnsi="Cambria"/>
                <w:sz w:val="20"/>
                <w:szCs w:val="20"/>
                <w:lang w:val="en-GB"/>
              </w:rPr>
              <w:t>Prof.</w:t>
            </w:r>
            <w:proofErr w:type="spellEnd"/>
            <w:r w:rsidRPr="009018D1">
              <w:rPr>
                <w:rFonts w:ascii="Cambria" w:hAnsi="Cambria"/>
                <w:sz w:val="20"/>
                <w:szCs w:val="20"/>
                <w:lang w:val="en-GB"/>
              </w:rPr>
              <w:t xml:space="preserve"> Stanislav </w:t>
            </w:r>
            <w:proofErr w:type="spellStart"/>
            <w:r w:rsidRPr="009018D1">
              <w:rPr>
                <w:rFonts w:ascii="Cambria" w:hAnsi="Cambria"/>
                <w:sz w:val="20"/>
                <w:szCs w:val="20"/>
                <w:lang w:val="en-GB"/>
              </w:rPr>
              <w:t>Šota</w:t>
            </w:r>
            <w:proofErr w:type="spellEnd"/>
            <w:r w:rsidRPr="009018D1">
              <w:rPr>
                <w:rFonts w:ascii="Cambria" w:hAnsi="Cambria"/>
                <w:sz w:val="20"/>
                <w:szCs w:val="20"/>
                <w:lang w:val="en-GB"/>
              </w:rPr>
              <w:t>, Ph.D.</w:t>
            </w:r>
          </w:p>
        </w:tc>
      </w:tr>
      <w:tr w:rsidR="00A57DEA" w:rsidRPr="009018D1" w:rsidTr="007748D3">
        <w:trPr>
          <w:cantSplit/>
          <w:trHeight w:val="1210"/>
        </w:trPr>
        <w:tc>
          <w:tcPr>
            <w:tcW w:w="1838" w:type="dxa"/>
            <w:shd w:val="clear" w:color="auto" w:fill="D9D9D9"/>
          </w:tcPr>
          <w:p w:rsidR="00A57DEA" w:rsidRPr="009018D1" w:rsidRDefault="00A57DEA" w:rsidP="007748D3">
            <w:pPr>
              <w:rPr>
                <w:rFonts w:ascii="Cambria" w:hAnsi="Cambria"/>
                <w:b/>
                <w:sz w:val="20"/>
                <w:szCs w:val="20"/>
                <w:lang w:val="en-GB"/>
              </w:rPr>
            </w:pPr>
            <w:r w:rsidRPr="009018D1">
              <w:rPr>
                <w:rFonts w:ascii="Cambria" w:hAnsi="Cambria"/>
                <w:b/>
                <w:sz w:val="20"/>
                <w:szCs w:val="20"/>
                <w:lang w:val="en-GB"/>
              </w:rPr>
              <w:t>Learning outcomes</w:t>
            </w:r>
          </w:p>
        </w:tc>
        <w:tc>
          <w:tcPr>
            <w:tcW w:w="7855" w:type="dxa"/>
            <w:gridSpan w:val="7"/>
            <w:tcBorders>
              <w:bottom w:val="single" w:sz="4" w:space="0" w:color="000000"/>
            </w:tcBorders>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After successfully completing the course, the student will be able to:</w:t>
            </w:r>
          </w:p>
          <w:p w:rsidR="00A57DEA" w:rsidRPr="009018D1" w:rsidRDefault="00A57DEA" w:rsidP="007748D3">
            <w:pPr>
              <w:rPr>
                <w:rFonts w:ascii="Cambria" w:hAnsi="Cambria"/>
                <w:sz w:val="20"/>
                <w:szCs w:val="20"/>
                <w:lang w:val="en-GB"/>
              </w:rPr>
            </w:pPr>
            <w:r w:rsidRPr="009018D1">
              <w:rPr>
                <w:rFonts w:ascii="Cambria" w:hAnsi="Cambria"/>
                <w:sz w:val="20"/>
                <w:szCs w:val="20"/>
                <w:lang w:val="en-GB"/>
              </w:rPr>
              <w:t xml:space="preserve">1. Pastorally reflect and sociologically </w:t>
            </w:r>
            <w:r>
              <w:rPr>
                <w:rFonts w:ascii="Cambria" w:hAnsi="Cambria"/>
                <w:sz w:val="20"/>
                <w:szCs w:val="20"/>
                <w:lang w:val="en-GB"/>
              </w:rPr>
              <w:t>research</w:t>
            </w:r>
            <w:r w:rsidRPr="009018D1">
              <w:rPr>
                <w:rFonts w:ascii="Cambria" w:hAnsi="Cambria"/>
                <w:sz w:val="20"/>
                <w:szCs w:val="20"/>
                <w:lang w:val="en-GB"/>
              </w:rPr>
              <w:t xml:space="preserve"> “the spirit of modern relativism”.</w:t>
            </w:r>
          </w:p>
          <w:p w:rsidR="00A57DEA" w:rsidRPr="009018D1" w:rsidRDefault="00A57DEA" w:rsidP="007748D3">
            <w:pPr>
              <w:rPr>
                <w:rFonts w:ascii="Cambria" w:hAnsi="Cambria"/>
                <w:sz w:val="20"/>
                <w:szCs w:val="20"/>
                <w:lang w:val="en-GB"/>
              </w:rPr>
            </w:pPr>
            <w:proofErr w:type="gramStart"/>
            <w:r w:rsidRPr="009018D1">
              <w:rPr>
                <w:rFonts w:ascii="Cambria" w:hAnsi="Cambria"/>
                <w:sz w:val="20"/>
                <w:szCs w:val="20"/>
                <w:lang w:val="en-GB"/>
              </w:rPr>
              <w:t>2. Scientifically and theoretically</w:t>
            </w:r>
            <w:proofErr w:type="gramEnd"/>
            <w:r w:rsidRPr="009018D1">
              <w:rPr>
                <w:rFonts w:ascii="Cambria" w:hAnsi="Cambria"/>
                <w:sz w:val="20"/>
                <w:szCs w:val="20"/>
                <w:lang w:val="en-GB"/>
              </w:rPr>
              <w:t xml:space="preserve"> reflect on the stages, the spirit and the consequences of the dictatorship of relativism, and with the help of another, theological reflection discover the signs of the times, the challenges of modern society, the world and mentality.</w:t>
            </w:r>
          </w:p>
          <w:p w:rsidR="00A57DEA" w:rsidRPr="009018D1" w:rsidRDefault="00A57DEA" w:rsidP="007748D3">
            <w:pPr>
              <w:rPr>
                <w:rFonts w:ascii="Cambria" w:hAnsi="Cambria"/>
                <w:sz w:val="20"/>
                <w:szCs w:val="20"/>
                <w:lang w:val="en-GB"/>
              </w:rPr>
            </w:pPr>
            <w:r w:rsidRPr="009018D1">
              <w:rPr>
                <w:rFonts w:ascii="Cambria" w:hAnsi="Cambria"/>
                <w:sz w:val="20"/>
                <w:szCs w:val="20"/>
                <w:lang w:val="en-GB"/>
              </w:rPr>
              <w:t>3. Seek the possibilities for evangelistic-pastoral activities in the world and mentality of the dictatorship of relativism.</w:t>
            </w:r>
          </w:p>
        </w:tc>
      </w:tr>
      <w:tr w:rsidR="00A57DEA" w:rsidRPr="009018D1" w:rsidTr="007748D3">
        <w:trPr>
          <w:cantSplit/>
          <w:trHeight w:val="90"/>
        </w:trPr>
        <w:tc>
          <w:tcPr>
            <w:tcW w:w="1838" w:type="dxa"/>
            <w:vMerge w:val="restart"/>
            <w:shd w:val="clear" w:color="auto" w:fill="D9D9D9"/>
          </w:tcPr>
          <w:p w:rsidR="00A57DEA" w:rsidRPr="009018D1" w:rsidRDefault="00A57DEA" w:rsidP="007748D3">
            <w:pPr>
              <w:rPr>
                <w:rFonts w:ascii="Cambria" w:hAnsi="Cambria"/>
                <w:b/>
                <w:sz w:val="20"/>
                <w:szCs w:val="20"/>
                <w:lang w:val="en-GB"/>
              </w:rPr>
            </w:pPr>
            <w:r w:rsidRPr="009018D1">
              <w:rPr>
                <w:rFonts w:ascii="Cambria" w:hAnsi="Cambria"/>
                <w:b/>
                <w:sz w:val="20"/>
                <w:szCs w:val="20"/>
                <w:lang w:val="en-GB"/>
              </w:rPr>
              <w:t>The link between learning outcomes, teaching methods and evaluation</w:t>
            </w:r>
          </w:p>
        </w:tc>
        <w:tc>
          <w:tcPr>
            <w:tcW w:w="1418" w:type="dxa"/>
            <w:vMerge w:val="restart"/>
            <w:shd w:val="clear" w:color="auto" w:fill="D6E3BC"/>
            <w:vAlign w:val="center"/>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Teaching activity</w:t>
            </w:r>
          </w:p>
        </w:tc>
        <w:tc>
          <w:tcPr>
            <w:tcW w:w="708" w:type="dxa"/>
            <w:vMerge w:val="restart"/>
            <w:shd w:val="clear" w:color="auto" w:fill="D6E3BC"/>
            <w:vAlign w:val="center"/>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ECTS</w:t>
            </w:r>
          </w:p>
        </w:tc>
        <w:tc>
          <w:tcPr>
            <w:tcW w:w="993" w:type="dxa"/>
            <w:vMerge w:val="restart"/>
            <w:shd w:val="clear" w:color="auto" w:fill="D6E3BC"/>
            <w:vAlign w:val="center"/>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Learning outcome</w:t>
            </w:r>
          </w:p>
        </w:tc>
        <w:tc>
          <w:tcPr>
            <w:tcW w:w="2040" w:type="dxa"/>
            <w:vMerge w:val="restart"/>
            <w:shd w:val="clear" w:color="auto" w:fill="D6E3BC"/>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Student activity</w:t>
            </w:r>
          </w:p>
        </w:tc>
        <w:tc>
          <w:tcPr>
            <w:tcW w:w="1482" w:type="dxa"/>
            <w:vMerge w:val="restart"/>
            <w:shd w:val="clear" w:color="auto" w:fill="D6E3BC"/>
            <w:vAlign w:val="center"/>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Methods of assessment</w:t>
            </w:r>
          </w:p>
        </w:tc>
        <w:tc>
          <w:tcPr>
            <w:tcW w:w="1214" w:type="dxa"/>
            <w:gridSpan w:val="2"/>
            <w:shd w:val="clear" w:color="auto" w:fill="D6E3BC"/>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Points</w:t>
            </w:r>
          </w:p>
        </w:tc>
      </w:tr>
      <w:tr w:rsidR="00A57DEA" w:rsidRPr="009018D1" w:rsidTr="007748D3">
        <w:trPr>
          <w:cantSplit/>
          <w:trHeight w:val="90"/>
        </w:trPr>
        <w:tc>
          <w:tcPr>
            <w:tcW w:w="1838" w:type="dxa"/>
            <w:vMerge/>
            <w:shd w:val="clear" w:color="auto" w:fill="D9D9D9"/>
          </w:tcPr>
          <w:p w:rsidR="00A57DEA" w:rsidRPr="009018D1" w:rsidRDefault="00A57DEA" w:rsidP="007748D3">
            <w:pPr>
              <w:rPr>
                <w:rFonts w:ascii="Cambria" w:hAnsi="Cambria"/>
                <w:b/>
                <w:sz w:val="20"/>
                <w:szCs w:val="20"/>
                <w:lang w:val="en-GB"/>
              </w:rPr>
            </w:pPr>
          </w:p>
        </w:tc>
        <w:tc>
          <w:tcPr>
            <w:tcW w:w="1418" w:type="dxa"/>
            <w:vMerge/>
            <w:shd w:val="clear" w:color="auto" w:fill="D6E3BC"/>
          </w:tcPr>
          <w:p w:rsidR="00A57DEA" w:rsidRPr="009018D1" w:rsidRDefault="00A57DEA" w:rsidP="007748D3">
            <w:pPr>
              <w:jc w:val="center"/>
              <w:rPr>
                <w:rFonts w:ascii="Cambria" w:hAnsi="Cambria"/>
                <w:sz w:val="20"/>
                <w:szCs w:val="20"/>
                <w:lang w:val="en-GB"/>
              </w:rPr>
            </w:pPr>
          </w:p>
        </w:tc>
        <w:tc>
          <w:tcPr>
            <w:tcW w:w="708" w:type="dxa"/>
            <w:vMerge/>
            <w:shd w:val="clear" w:color="auto" w:fill="D6E3BC"/>
          </w:tcPr>
          <w:p w:rsidR="00A57DEA" w:rsidRPr="009018D1" w:rsidRDefault="00A57DEA" w:rsidP="007748D3">
            <w:pPr>
              <w:jc w:val="center"/>
              <w:rPr>
                <w:rFonts w:ascii="Cambria" w:hAnsi="Cambria"/>
                <w:sz w:val="20"/>
                <w:szCs w:val="20"/>
                <w:lang w:val="en-GB"/>
              </w:rPr>
            </w:pPr>
          </w:p>
        </w:tc>
        <w:tc>
          <w:tcPr>
            <w:tcW w:w="993" w:type="dxa"/>
            <w:vMerge/>
            <w:shd w:val="clear" w:color="auto" w:fill="D6E3BC"/>
          </w:tcPr>
          <w:p w:rsidR="00A57DEA" w:rsidRPr="009018D1" w:rsidRDefault="00A57DEA" w:rsidP="007748D3">
            <w:pPr>
              <w:jc w:val="center"/>
              <w:rPr>
                <w:rFonts w:ascii="Cambria" w:hAnsi="Cambria"/>
                <w:sz w:val="20"/>
                <w:szCs w:val="20"/>
                <w:lang w:val="en-GB"/>
              </w:rPr>
            </w:pPr>
          </w:p>
        </w:tc>
        <w:tc>
          <w:tcPr>
            <w:tcW w:w="2040" w:type="dxa"/>
            <w:vMerge/>
            <w:shd w:val="clear" w:color="auto" w:fill="D6E3BC"/>
          </w:tcPr>
          <w:p w:rsidR="00A57DEA" w:rsidRPr="009018D1" w:rsidRDefault="00A57DEA" w:rsidP="007748D3">
            <w:pPr>
              <w:jc w:val="center"/>
              <w:rPr>
                <w:rFonts w:ascii="Cambria" w:hAnsi="Cambria"/>
                <w:sz w:val="20"/>
                <w:szCs w:val="20"/>
                <w:lang w:val="en-GB"/>
              </w:rPr>
            </w:pPr>
          </w:p>
        </w:tc>
        <w:tc>
          <w:tcPr>
            <w:tcW w:w="1482" w:type="dxa"/>
            <w:vMerge/>
            <w:shd w:val="clear" w:color="auto" w:fill="D6E3BC"/>
          </w:tcPr>
          <w:p w:rsidR="00A57DEA" w:rsidRPr="009018D1" w:rsidRDefault="00A57DEA" w:rsidP="007748D3">
            <w:pPr>
              <w:jc w:val="center"/>
              <w:rPr>
                <w:rFonts w:ascii="Cambria" w:hAnsi="Cambria"/>
                <w:sz w:val="20"/>
                <w:szCs w:val="20"/>
                <w:lang w:val="en-GB"/>
              </w:rPr>
            </w:pPr>
          </w:p>
        </w:tc>
        <w:tc>
          <w:tcPr>
            <w:tcW w:w="663" w:type="dxa"/>
            <w:shd w:val="clear" w:color="auto" w:fill="D6E3BC"/>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min</w:t>
            </w:r>
          </w:p>
        </w:tc>
        <w:tc>
          <w:tcPr>
            <w:tcW w:w="551" w:type="dxa"/>
            <w:shd w:val="clear" w:color="auto" w:fill="D6E3BC"/>
          </w:tcPr>
          <w:p w:rsidR="00A57DEA" w:rsidRPr="009018D1" w:rsidRDefault="00A57DEA" w:rsidP="007748D3">
            <w:pPr>
              <w:ind w:left="-183" w:right="-72"/>
              <w:jc w:val="center"/>
              <w:rPr>
                <w:rFonts w:ascii="Cambria" w:hAnsi="Cambria"/>
                <w:sz w:val="20"/>
                <w:szCs w:val="20"/>
                <w:lang w:val="en-GB"/>
              </w:rPr>
            </w:pPr>
            <w:r w:rsidRPr="009018D1">
              <w:rPr>
                <w:rFonts w:ascii="Cambria" w:hAnsi="Cambria"/>
                <w:sz w:val="20"/>
                <w:szCs w:val="20"/>
                <w:lang w:val="en-GB"/>
              </w:rPr>
              <w:t>max</w:t>
            </w:r>
          </w:p>
        </w:tc>
      </w:tr>
      <w:tr w:rsidR="00A57DEA" w:rsidRPr="009018D1" w:rsidTr="007748D3">
        <w:trPr>
          <w:cantSplit/>
          <w:trHeight w:val="190"/>
        </w:trPr>
        <w:tc>
          <w:tcPr>
            <w:tcW w:w="1838" w:type="dxa"/>
            <w:vMerge/>
            <w:shd w:val="clear" w:color="auto" w:fill="D9D9D9"/>
          </w:tcPr>
          <w:p w:rsidR="00A57DEA" w:rsidRPr="009018D1" w:rsidRDefault="00A57DEA" w:rsidP="007748D3">
            <w:pPr>
              <w:rPr>
                <w:rFonts w:ascii="Cambria" w:hAnsi="Cambria"/>
                <w:b/>
                <w:sz w:val="20"/>
                <w:szCs w:val="20"/>
                <w:lang w:val="en-GB"/>
              </w:rPr>
            </w:pPr>
          </w:p>
        </w:tc>
        <w:tc>
          <w:tcPr>
            <w:tcW w:w="1418" w:type="dxa"/>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Research work</w:t>
            </w:r>
          </w:p>
        </w:tc>
        <w:tc>
          <w:tcPr>
            <w:tcW w:w="708" w:type="dxa"/>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1</w:t>
            </w:r>
          </w:p>
        </w:tc>
        <w:tc>
          <w:tcPr>
            <w:tcW w:w="993" w:type="dxa"/>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1-2</w:t>
            </w:r>
          </w:p>
        </w:tc>
        <w:tc>
          <w:tcPr>
            <w:tcW w:w="2040" w:type="dxa"/>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Qualitative research</w:t>
            </w:r>
          </w:p>
        </w:tc>
        <w:tc>
          <w:tcPr>
            <w:tcW w:w="1482" w:type="dxa"/>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Records through presentation</w:t>
            </w:r>
          </w:p>
        </w:tc>
        <w:tc>
          <w:tcPr>
            <w:tcW w:w="663" w:type="dxa"/>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25</w:t>
            </w:r>
          </w:p>
        </w:tc>
        <w:tc>
          <w:tcPr>
            <w:tcW w:w="551" w:type="dxa"/>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40</w:t>
            </w:r>
          </w:p>
        </w:tc>
      </w:tr>
      <w:tr w:rsidR="00A57DEA" w:rsidRPr="009018D1" w:rsidTr="007748D3">
        <w:trPr>
          <w:cantSplit/>
          <w:trHeight w:val="190"/>
        </w:trPr>
        <w:tc>
          <w:tcPr>
            <w:tcW w:w="1838" w:type="dxa"/>
            <w:vMerge/>
            <w:shd w:val="clear" w:color="auto" w:fill="D9D9D9"/>
          </w:tcPr>
          <w:p w:rsidR="00A57DEA" w:rsidRPr="009018D1" w:rsidRDefault="00A57DEA" w:rsidP="007748D3">
            <w:pPr>
              <w:rPr>
                <w:rFonts w:ascii="Cambria" w:hAnsi="Cambria"/>
                <w:b/>
                <w:sz w:val="20"/>
                <w:szCs w:val="20"/>
                <w:lang w:val="en-GB"/>
              </w:rPr>
            </w:pPr>
          </w:p>
        </w:tc>
        <w:tc>
          <w:tcPr>
            <w:tcW w:w="1418" w:type="dxa"/>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Writing a seminar</w:t>
            </w:r>
          </w:p>
        </w:tc>
        <w:tc>
          <w:tcPr>
            <w:tcW w:w="708" w:type="dxa"/>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1</w:t>
            </w:r>
          </w:p>
        </w:tc>
        <w:tc>
          <w:tcPr>
            <w:tcW w:w="993" w:type="dxa"/>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3</w:t>
            </w:r>
          </w:p>
        </w:tc>
        <w:tc>
          <w:tcPr>
            <w:tcW w:w="2040" w:type="dxa"/>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Scientific reflection</w:t>
            </w:r>
          </w:p>
        </w:tc>
        <w:tc>
          <w:tcPr>
            <w:tcW w:w="1482" w:type="dxa"/>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Grade in the final written paper</w:t>
            </w:r>
          </w:p>
        </w:tc>
        <w:tc>
          <w:tcPr>
            <w:tcW w:w="663" w:type="dxa"/>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30</w:t>
            </w:r>
          </w:p>
        </w:tc>
        <w:tc>
          <w:tcPr>
            <w:tcW w:w="551" w:type="dxa"/>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60</w:t>
            </w:r>
          </w:p>
        </w:tc>
      </w:tr>
      <w:tr w:rsidR="00A57DEA" w:rsidRPr="009018D1" w:rsidTr="007748D3">
        <w:trPr>
          <w:cantSplit/>
          <w:trHeight w:val="190"/>
        </w:trPr>
        <w:tc>
          <w:tcPr>
            <w:tcW w:w="1838" w:type="dxa"/>
            <w:vMerge/>
            <w:shd w:val="clear" w:color="auto" w:fill="D9D9D9"/>
          </w:tcPr>
          <w:p w:rsidR="00A57DEA" w:rsidRPr="009018D1" w:rsidRDefault="00A57DEA" w:rsidP="007748D3">
            <w:pPr>
              <w:rPr>
                <w:rFonts w:ascii="Cambria" w:hAnsi="Cambria"/>
                <w:b/>
                <w:sz w:val="20"/>
                <w:szCs w:val="20"/>
                <w:lang w:val="en-GB"/>
              </w:rPr>
            </w:pPr>
          </w:p>
        </w:tc>
        <w:tc>
          <w:tcPr>
            <w:tcW w:w="1418" w:type="dxa"/>
          </w:tcPr>
          <w:p w:rsidR="00A57DEA" w:rsidRPr="009018D1" w:rsidRDefault="00A57DEA" w:rsidP="007748D3">
            <w:pPr>
              <w:rPr>
                <w:rFonts w:ascii="Cambria" w:hAnsi="Cambria"/>
                <w:sz w:val="20"/>
                <w:szCs w:val="20"/>
                <w:lang w:val="en-GB"/>
              </w:rPr>
            </w:pPr>
            <w:r w:rsidRPr="009018D1">
              <w:rPr>
                <w:rFonts w:ascii="Cambria" w:hAnsi="Cambria"/>
                <w:sz w:val="20"/>
                <w:szCs w:val="20"/>
                <w:lang w:val="en-GB"/>
              </w:rPr>
              <w:t>Total:</w:t>
            </w:r>
          </w:p>
        </w:tc>
        <w:tc>
          <w:tcPr>
            <w:tcW w:w="708" w:type="dxa"/>
            <w:shd w:val="clear" w:color="auto" w:fill="D6E3BC"/>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2</w:t>
            </w:r>
          </w:p>
        </w:tc>
        <w:tc>
          <w:tcPr>
            <w:tcW w:w="993" w:type="dxa"/>
          </w:tcPr>
          <w:p w:rsidR="00A57DEA" w:rsidRPr="009018D1" w:rsidRDefault="00A57DEA" w:rsidP="007748D3">
            <w:pPr>
              <w:jc w:val="center"/>
              <w:rPr>
                <w:rFonts w:ascii="Cambria" w:hAnsi="Cambria"/>
                <w:sz w:val="20"/>
                <w:szCs w:val="20"/>
                <w:lang w:val="en-GB"/>
              </w:rPr>
            </w:pPr>
          </w:p>
        </w:tc>
        <w:tc>
          <w:tcPr>
            <w:tcW w:w="2040" w:type="dxa"/>
          </w:tcPr>
          <w:p w:rsidR="00A57DEA" w:rsidRPr="009018D1" w:rsidRDefault="00A57DEA" w:rsidP="007748D3">
            <w:pPr>
              <w:rPr>
                <w:rFonts w:ascii="Cambria" w:hAnsi="Cambria"/>
                <w:sz w:val="20"/>
                <w:szCs w:val="20"/>
                <w:lang w:val="en-GB"/>
              </w:rPr>
            </w:pPr>
          </w:p>
        </w:tc>
        <w:tc>
          <w:tcPr>
            <w:tcW w:w="1482" w:type="dxa"/>
          </w:tcPr>
          <w:p w:rsidR="00A57DEA" w:rsidRPr="009018D1" w:rsidRDefault="00A57DEA" w:rsidP="007748D3">
            <w:pPr>
              <w:rPr>
                <w:rFonts w:ascii="Cambria" w:hAnsi="Cambria"/>
                <w:sz w:val="20"/>
                <w:szCs w:val="20"/>
                <w:lang w:val="en-GB"/>
              </w:rPr>
            </w:pPr>
          </w:p>
        </w:tc>
        <w:tc>
          <w:tcPr>
            <w:tcW w:w="663" w:type="dxa"/>
            <w:shd w:val="clear" w:color="auto" w:fill="D6E3BC"/>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55</w:t>
            </w:r>
          </w:p>
        </w:tc>
        <w:tc>
          <w:tcPr>
            <w:tcW w:w="551" w:type="dxa"/>
            <w:shd w:val="clear" w:color="auto" w:fill="D6E3BC"/>
          </w:tcPr>
          <w:p w:rsidR="00A57DEA" w:rsidRPr="009018D1" w:rsidRDefault="00A57DEA" w:rsidP="007748D3">
            <w:pPr>
              <w:jc w:val="center"/>
              <w:rPr>
                <w:rFonts w:ascii="Cambria" w:hAnsi="Cambria"/>
                <w:sz w:val="20"/>
                <w:szCs w:val="20"/>
                <w:lang w:val="en-GB"/>
              </w:rPr>
            </w:pPr>
            <w:r w:rsidRPr="009018D1">
              <w:rPr>
                <w:rFonts w:ascii="Cambria" w:hAnsi="Cambria"/>
                <w:sz w:val="20"/>
                <w:szCs w:val="20"/>
                <w:lang w:val="en-GB"/>
              </w:rPr>
              <w:t>100</w:t>
            </w:r>
          </w:p>
        </w:tc>
      </w:tr>
      <w:tr w:rsidR="00A57DEA" w:rsidRPr="009018D1" w:rsidTr="007748D3">
        <w:trPr>
          <w:cantSplit/>
          <w:trHeight w:val="190"/>
        </w:trPr>
        <w:tc>
          <w:tcPr>
            <w:tcW w:w="1838" w:type="dxa"/>
            <w:shd w:val="clear" w:color="auto" w:fill="D9D9D9"/>
          </w:tcPr>
          <w:p w:rsidR="00A57DEA" w:rsidRPr="009F67D9" w:rsidRDefault="00A57DEA" w:rsidP="007748D3">
            <w:pPr>
              <w:rPr>
                <w:rFonts w:ascii="Cambria" w:hAnsi="Cambria"/>
                <w:b/>
                <w:sz w:val="20"/>
                <w:szCs w:val="20"/>
                <w:lang w:val="en-GB"/>
              </w:rPr>
            </w:pPr>
            <w:proofErr w:type="spellStart"/>
            <w:r w:rsidRPr="009F67D9">
              <w:rPr>
                <w:rStyle w:val="Naglaeno"/>
                <w:rFonts w:ascii="Cambria" w:hAnsi="Cambria" w:cs="Calibri"/>
                <w:sz w:val="20"/>
                <w:szCs w:val="20"/>
              </w:rPr>
              <w:t>Class</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hours</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per</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week</w:t>
            </w:r>
            <w:proofErr w:type="spellEnd"/>
          </w:p>
        </w:tc>
        <w:tc>
          <w:tcPr>
            <w:tcW w:w="7855" w:type="dxa"/>
            <w:gridSpan w:val="7"/>
            <w:shd w:val="clear" w:color="auto" w:fill="auto"/>
            <w:vAlign w:val="center"/>
          </w:tcPr>
          <w:p w:rsidR="00A57DEA" w:rsidRPr="009018D1" w:rsidRDefault="00A57DEA" w:rsidP="007748D3">
            <w:pPr>
              <w:spacing w:line="256" w:lineRule="auto"/>
              <w:rPr>
                <w:rFonts w:ascii="Cambria" w:hAnsi="Cambria"/>
                <w:sz w:val="20"/>
                <w:szCs w:val="20"/>
                <w:lang w:val="en-GB"/>
              </w:rPr>
            </w:pPr>
            <w:r>
              <w:rPr>
                <w:rFonts w:ascii="Cambria" w:hAnsi="Cambria"/>
                <w:sz w:val="20"/>
                <w:szCs w:val="20"/>
                <w:lang w:val="en-GB"/>
              </w:rPr>
              <w:t>1</w:t>
            </w:r>
            <w:r>
              <w:rPr>
                <w:rFonts w:ascii="Cambria" w:hAnsi="Cambria"/>
                <w:sz w:val="20"/>
                <w:szCs w:val="20"/>
                <w:lang w:val="en-GB"/>
              </w:rPr>
              <w:t>/SS</w:t>
            </w:r>
          </w:p>
        </w:tc>
      </w:tr>
      <w:tr w:rsidR="00A57DEA" w:rsidRPr="009018D1" w:rsidTr="007748D3">
        <w:trPr>
          <w:cantSplit/>
          <w:trHeight w:val="190"/>
        </w:trPr>
        <w:tc>
          <w:tcPr>
            <w:tcW w:w="1838" w:type="dxa"/>
            <w:shd w:val="clear" w:color="auto" w:fill="D9D9D9"/>
          </w:tcPr>
          <w:p w:rsidR="00A57DEA" w:rsidRPr="009018D1" w:rsidRDefault="00A57DEA" w:rsidP="007748D3">
            <w:pPr>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shd w:val="clear" w:color="auto" w:fill="auto"/>
            <w:vAlign w:val="center"/>
          </w:tcPr>
          <w:p w:rsidR="00A57DEA" w:rsidRPr="009018D1" w:rsidRDefault="00A57DEA" w:rsidP="007748D3">
            <w:pPr>
              <w:jc w:val="center"/>
              <w:rPr>
                <w:rFonts w:ascii="Cambria" w:hAnsi="Cambria"/>
                <w:sz w:val="20"/>
                <w:szCs w:val="20"/>
                <w:lang w:val="en-GB"/>
              </w:rPr>
            </w:pPr>
            <w:r>
              <w:rPr>
                <w:rFonts w:ascii="Cambria" w:hAnsi="Cambria"/>
                <w:sz w:val="20"/>
                <w:szCs w:val="20"/>
                <w:lang w:val="en-GB"/>
              </w:rPr>
              <w:t>English</w:t>
            </w:r>
          </w:p>
        </w:tc>
      </w:tr>
      <w:tr w:rsidR="00A57DEA" w:rsidRPr="009018D1" w:rsidTr="007748D3">
        <w:trPr>
          <w:cantSplit/>
          <w:trHeight w:val="190"/>
        </w:trPr>
        <w:tc>
          <w:tcPr>
            <w:tcW w:w="1838" w:type="dxa"/>
            <w:shd w:val="clear" w:color="auto" w:fill="D9D9D9"/>
          </w:tcPr>
          <w:p w:rsidR="00A57DEA" w:rsidRPr="009018D1" w:rsidRDefault="00A57DEA" w:rsidP="007748D3">
            <w:pPr>
              <w:rPr>
                <w:rFonts w:ascii="Cambria" w:hAnsi="Cambria"/>
                <w:b/>
                <w:sz w:val="20"/>
                <w:szCs w:val="20"/>
                <w:lang w:val="en-GB"/>
              </w:rPr>
            </w:pPr>
            <w:r>
              <w:rPr>
                <w:rFonts w:ascii="Cambria" w:hAnsi="Cambria"/>
                <w:b/>
                <w:sz w:val="20"/>
                <w:szCs w:val="20"/>
                <w:lang w:val="en-GB"/>
              </w:rPr>
              <w:t>Language of consultation</w:t>
            </w:r>
          </w:p>
        </w:tc>
        <w:tc>
          <w:tcPr>
            <w:tcW w:w="7855" w:type="dxa"/>
            <w:gridSpan w:val="7"/>
            <w:shd w:val="clear" w:color="auto" w:fill="auto"/>
            <w:vAlign w:val="center"/>
          </w:tcPr>
          <w:p w:rsidR="00A57DEA" w:rsidRPr="009018D1" w:rsidRDefault="00A57DEA" w:rsidP="007748D3">
            <w:pPr>
              <w:jc w:val="center"/>
              <w:rPr>
                <w:rFonts w:ascii="Cambria" w:hAnsi="Cambria"/>
                <w:sz w:val="20"/>
                <w:szCs w:val="20"/>
                <w:lang w:val="en-GB"/>
              </w:rPr>
            </w:pPr>
            <w:r>
              <w:rPr>
                <w:rFonts w:ascii="Cambria" w:hAnsi="Cambria"/>
                <w:sz w:val="20"/>
                <w:szCs w:val="20"/>
                <w:lang w:val="en-GB"/>
              </w:rPr>
              <w:t>English</w:t>
            </w:r>
          </w:p>
        </w:tc>
      </w:tr>
    </w:tbl>
    <w:p w:rsidR="007454C4" w:rsidRDefault="007454C4">
      <w:bookmarkStart w:id="0" w:name="_GoBack"/>
      <w:bookmarkEnd w:id="0"/>
    </w:p>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79"/>
    <w:rsid w:val="007454C4"/>
    <w:rsid w:val="0098404A"/>
    <w:rsid w:val="00A57DEA"/>
    <w:rsid w:val="00BA034B"/>
    <w:rsid w:val="00F43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0EA95-7B57-44B9-B573-FEFDC2C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EA"/>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A57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KBF Đakovo</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2017-06-02T13:14:00Z</dcterms:created>
  <dcterms:modified xsi:type="dcterms:W3CDTF">2017-06-02T13:15:00Z</dcterms:modified>
</cp:coreProperties>
</file>