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36"/>
        <w:gridCol w:w="1418"/>
        <w:gridCol w:w="708"/>
        <w:gridCol w:w="993"/>
        <w:gridCol w:w="2039"/>
        <w:gridCol w:w="1482"/>
        <w:gridCol w:w="663"/>
        <w:gridCol w:w="551"/>
      </w:tblGrid>
      <w:tr w:rsidR="0093705B" w:rsidTr="0093705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title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</w:pPr>
            <w:bookmarkStart w:id="0" w:name="_GoBack"/>
            <w:r>
              <w:rPr>
                <w:rFonts w:ascii="Cambria" w:hAnsi="Cambria"/>
                <w:b/>
                <w:caps/>
                <w:sz w:val="20"/>
                <w:szCs w:val="20"/>
                <w:lang w:val="en-GB"/>
              </w:rPr>
              <w:t>The Types of Faith in John's Gospel</w:t>
            </w:r>
            <w:bookmarkEnd w:id="0"/>
          </w:p>
        </w:tc>
      </w:tr>
      <w:tr w:rsidR="0093705B" w:rsidTr="0093705B">
        <w:trPr>
          <w:cantSplit/>
          <w:trHeight w:val="369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Course director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Assoc.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Prof.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Ivica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Čatić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>, Ph.D.</w:t>
            </w:r>
          </w:p>
        </w:tc>
      </w:tr>
      <w:tr w:rsidR="0093705B" w:rsidTr="0093705B">
        <w:trPr>
          <w:cantSplit/>
          <w:trHeight w:val="121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Learning outcomes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After successfully completing the course, the student will be able to:</w:t>
            </w:r>
          </w:p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1. Recognize the places and ways in which the Gospel of John speaks about faith.</w:t>
            </w:r>
          </w:p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2. Compare certain </w:t>
            </w:r>
            <w:proofErr w:type="spellStart"/>
            <w:r>
              <w:rPr>
                <w:rFonts w:ascii="Cambria" w:hAnsi="Cambria"/>
                <w:sz w:val="20"/>
                <w:szCs w:val="20"/>
                <w:lang w:val="en-GB"/>
              </w:rPr>
              <w:t>impersonified</w:t>
            </w:r>
            <w:proofErr w:type="spellEnd"/>
            <w:r>
              <w:rPr>
                <w:rFonts w:ascii="Cambria" w:hAnsi="Cambria"/>
                <w:sz w:val="20"/>
                <w:szCs w:val="20"/>
                <w:lang w:val="en-GB"/>
              </w:rPr>
              <w:t xml:space="preserve"> “types” with the generally presented topic of faith in the Gospel.</w:t>
            </w:r>
          </w:p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3. Synthesize the acquired knowledge as criteria and landmarks for a discourse about faith in a spiritual sense.</w:t>
            </w:r>
          </w:p>
        </w:tc>
      </w:tr>
      <w:tr w:rsidR="0093705B" w:rsidTr="0093705B">
        <w:trPr>
          <w:cantSplit/>
          <w:trHeight w:val="90"/>
        </w:trPr>
        <w:tc>
          <w:tcPr>
            <w:tcW w:w="183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The link between learning outcomes, teaching methods and evaluation</w:t>
            </w: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Teaching activity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ECTS</w:t>
            </w:r>
          </w:p>
        </w:tc>
        <w:tc>
          <w:tcPr>
            <w:tcW w:w="9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Learning outcome</w:t>
            </w:r>
          </w:p>
        </w:tc>
        <w:tc>
          <w:tcPr>
            <w:tcW w:w="20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Student activity</w:t>
            </w:r>
          </w:p>
        </w:tc>
        <w:tc>
          <w:tcPr>
            <w:tcW w:w="14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vAlign w:val="center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Methods of assessment</w:t>
            </w:r>
          </w:p>
        </w:tc>
        <w:tc>
          <w:tcPr>
            <w:tcW w:w="1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Points</w:t>
            </w:r>
          </w:p>
        </w:tc>
      </w:tr>
      <w:tr w:rsidR="0093705B" w:rsidTr="0093705B">
        <w:trPr>
          <w:cantSplit/>
          <w:trHeight w:val="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78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9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min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705B" w:rsidRDefault="0093705B">
            <w:pPr>
              <w:spacing w:line="256" w:lineRule="auto"/>
              <w:ind w:left="-183" w:right="-72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max</w:t>
            </w:r>
          </w:p>
        </w:tc>
      </w:tr>
      <w:tr w:rsidR="0093705B" w:rsidTr="0093705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Lecture attendance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Presence at classes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Records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20</w:t>
            </w:r>
          </w:p>
        </w:tc>
      </w:tr>
      <w:tr w:rsidR="0093705B" w:rsidTr="0093705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consultation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0.5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Presentation and discussion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Independence in creating and presentation skills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ind w:left="-4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15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93705B" w:rsidTr="0093705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1-3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Writing the seminar paper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Evaluation according to the content and methodology</w:t>
            </w: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30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40</w:t>
            </w:r>
          </w:p>
        </w:tc>
      </w:tr>
      <w:tr w:rsidR="0093705B" w:rsidTr="0093705B">
        <w:trPr>
          <w:cantSplit/>
          <w:trHeight w:val="190"/>
        </w:trPr>
        <w:tc>
          <w:tcPr>
            <w:tcW w:w="183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Total: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2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</w:p>
        </w:tc>
        <w:tc>
          <w:tcPr>
            <w:tcW w:w="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60</w:t>
            </w:r>
          </w:p>
        </w:tc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6E3BC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100</w:t>
            </w:r>
          </w:p>
        </w:tc>
      </w:tr>
      <w:tr w:rsidR="0093705B" w:rsidTr="0093705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Class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hours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per</w:t>
            </w:r>
            <w:proofErr w:type="spellEnd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 xml:space="preserve"> </w:t>
            </w:r>
            <w:proofErr w:type="spellStart"/>
            <w:r>
              <w:rPr>
                <w:rStyle w:val="Naglaeno"/>
                <w:rFonts w:ascii="Cambria" w:hAnsi="Cambria" w:cs="Calibri"/>
                <w:sz w:val="20"/>
                <w:szCs w:val="20"/>
              </w:rPr>
              <w:t>week</w:t>
            </w:r>
            <w:proofErr w:type="spellEnd"/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1</w:t>
            </w:r>
            <w:r>
              <w:rPr>
                <w:rFonts w:ascii="Cambria" w:hAnsi="Cambria"/>
                <w:sz w:val="20"/>
                <w:szCs w:val="20"/>
                <w:lang w:val="en-GB"/>
              </w:rPr>
              <w:t>/SS</w:t>
            </w:r>
          </w:p>
        </w:tc>
      </w:tr>
      <w:tr w:rsidR="0093705B" w:rsidTr="0093705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Teaching language (min. 5 students)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  <w:tr w:rsidR="0093705B" w:rsidTr="0093705B">
        <w:trPr>
          <w:cantSplit/>
          <w:trHeight w:val="190"/>
        </w:trPr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93705B" w:rsidRDefault="0093705B">
            <w:pPr>
              <w:spacing w:line="256" w:lineRule="auto"/>
              <w:rPr>
                <w:rFonts w:ascii="Cambria" w:hAnsi="Cambria"/>
                <w:b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b/>
                <w:sz w:val="20"/>
                <w:szCs w:val="20"/>
                <w:lang w:val="en-GB"/>
              </w:rPr>
              <w:t>Language of consultation</w:t>
            </w:r>
          </w:p>
        </w:tc>
        <w:tc>
          <w:tcPr>
            <w:tcW w:w="7855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3705B" w:rsidRDefault="0093705B">
            <w:pPr>
              <w:spacing w:line="256" w:lineRule="auto"/>
              <w:jc w:val="center"/>
              <w:rPr>
                <w:rFonts w:ascii="Cambria" w:hAnsi="Cambria"/>
                <w:sz w:val="20"/>
                <w:szCs w:val="20"/>
                <w:lang w:val="en-GB"/>
              </w:rPr>
            </w:pPr>
            <w:r>
              <w:rPr>
                <w:rFonts w:ascii="Cambria" w:hAnsi="Cambria"/>
                <w:sz w:val="20"/>
                <w:szCs w:val="20"/>
                <w:lang w:val="en-GB"/>
              </w:rPr>
              <w:t>Italian</w:t>
            </w:r>
          </w:p>
        </w:tc>
      </w:tr>
    </w:tbl>
    <w:p w:rsidR="007454C4" w:rsidRDefault="007454C4"/>
    <w:sectPr w:rsidR="007454C4" w:rsidSect="00BA034B">
      <w:pgSz w:w="11907" w:h="16840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9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D0D"/>
    <w:rsid w:val="007454C4"/>
    <w:rsid w:val="0093705B"/>
    <w:rsid w:val="0098404A"/>
    <w:rsid w:val="00BA034B"/>
    <w:rsid w:val="00EB7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9E7F52-CDFB-42BE-978D-E722AD826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2"/>
        <w:lang w:val="hr-HR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05B"/>
    <w:pPr>
      <w:spacing w:after="0"/>
    </w:pPr>
    <w:rPr>
      <w:rFonts w:ascii="Calibri" w:eastAsia="Calibri" w:hAnsi="Calibri" w:cs="Times New Roma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qFormat/>
    <w:rsid w:val="0093705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38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924</Characters>
  <Application>Microsoft Office Word</Application>
  <DocSecurity>0</DocSecurity>
  <Lines>7</Lines>
  <Paragraphs>2</Paragraphs>
  <ScaleCrop>false</ScaleCrop>
  <Company>KBF Đakovo</Company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Kvaliteta</dc:creator>
  <cp:keywords/>
  <dc:description/>
  <cp:lastModifiedBy>Kvaliteta</cp:lastModifiedBy>
  <cp:revision>2</cp:revision>
  <dcterms:created xsi:type="dcterms:W3CDTF">2017-06-02T13:04:00Z</dcterms:created>
  <dcterms:modified xsi:type="dcterms:W3CDTF">2017-06-02T13:05:00Z</dcterms:modified>
</cp:coreProperties>
</file>