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701"/>
        <w:gridCol w:w="709"/>
        <w:gridCol w:w="992"/>
        <w:gridCol w:w="1757"/>
        <w:gridCol w:w="1482"/>
        <w:gridCol w:w="663"/>
        <w:gridCol w:w="551"/>
      </w:tblGrid>
      <w:tr w:rsidR="002E4CC2" w:rsidRPr="009018D1" w:rsidTr="00D34679">
        <w:trPr>
          <w:cantSplit/>
          <w:trHeight w:val="171"/>
        </w:trPr>
        <w:tc>
          <w:tcPr>
            <w:tcW w:w="1838" w:type="dxa"/>
            <w:shd w:val="clear" w:color="auto" w:fill="D9D9D9"/>
          </w:tcPr>
          <w:p w:rsidR="002E4CC2" w:rsidRPr="009018D1" w:rsidRDefault="002E4CC2" w:rsidP="00D34679">
            <w:pPr>
              <w:rPr>
                <w:rFonts w:ascii="Cambria" w:hAnsi="Cambria"/>
                <w:b/>
                <w:sz w:val="20"/>
                <w:szCs w:val="20"/>
                <w:lang w:val="en-GB"/>
              </w:rPr>
            </w:pPr>
            <w:r w:rsidRPr="009018D1">
              <w:rPr>
                <w:rFonts w:ascii="Cambria" w:hAnsi="Cambria"/>
                <w:b/>
                <w:sz w:val="20"/>
                <w:szCs w:val="20"/>
                <w:lang w:val="en-GB"/>
              </w:rPr>
              <w:t>Course title</w:t>
            </w:r>
          </w:p>
        </w:tc>
        <w:tc>
          <w:tcPr>
            <w:tcW w:w="7855" w:type="dxa"/>
            <w:gridSpan w:val="7"/>
          </w:tcPr>
          <w:p w:rsidR="002E4CC2" w:rsidRPr="009018D1" w:rsidRDefault="002E4CC2" w:rsidP="00D34679">
            <w:pPr>
              <w:jc w:val="center"/>
              <w:rPr>
                <w:rFonts w:ascii="Cambria" w:hAnsi="Cambria"/>
                <w:b/>
                <w:caps/>
                <w:sz w:val="20"/>
                <w:szCs w:val="20"/>
                <w:lang w:val="en-GB"/>
              </w:rPr>
            </w:pPr>
            <w:r w:rsidRPr="009018D1">
              <w:rPr>
                <w:rFonts w:ascii="Cambria" w:hAnsi="Cambria"/>
                <w:b/>
                <w:sz w:val="20"/>
                <w:szCs w:val="20"/>
                <w:lang w:val="en-GB"/>
              </w:rPr>
              <w:t>THE HISTORY OF PHILOSOPHY, I: ANTIQUITY</w:t>
            </w:r>
          </w:p>
        </w:tc>
      </w:tr>
      <w:tr w:rsidR="002E4CC2" w:rsidRPr="009018D1" w:rsidTr="00D34679">
        <w:trPr>
          <w:cantSplit/>
          <w:trHeight w:val="369"/>
        </w:trPr>
        <w:tc>
          <w:tcPr>
            <w:tcW w:w="1838" w:type="dxa"/>
            <w:shd w:val="clear" w:color="auto" w:fill="D9D9D9"/>
          </w:tcPr>
          <w:p w:rsidR="002E4CC2" w:rsidRPr="009018D1" w:rsidRDefault="002E4CC2" w:rsidP="00D34679">
            <w:pPr>
              <w:rPr>
                <w:rFonts w:ascii="Cambria" w:hAnsi="Cambria"/>
                <w:b/>
                <w:sz w:val="20"/>
                <w:szCs w:val="20"/>
                <w:lang w:val="en-GB"/>
              </w:rPr>
            </w:pPr>
            <w:r w:rsidRPr="009018D1">
              <w:rPr>
                <w:rFonts w:ascii="Cambria" w:hAnsi="Cambria"/>
                <w:b/>
                <w:sz w:val="20"/>
                <w:szCs w:val="20"/>
                <w:lang w:val="en-GB"/>
              </w:rPr>
              <w:t>Course director</w:t>
            </w:r>
          </w:p>
        </w:tc>
        <w:tc>
          <w:tcPr>
            <w:tcW w:w="7855" w:type="dxa"/>
            <w:gridSpan w:val="7"/>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 xml:space="preserve">Assoc. </w:t>
            </w:r>
            <w:proofErr w:type="spellStart"/>
            <w:r w:rsidRPr="009018D1">
              <w:rPr>
                <w:rFonts w:ascii="Cambria" w:hAnsi="Cambria"/>
                <w:sz w:val="20"/>
                <w:szCs w:val="20"/>
                <w:lang w:val="en-GB"/>
              </w:rPr>
              <w:t>Prof.</w:t>
            </w:r>
            <w:proofErr w:type="spellEnd"/>
            <w:r>
              <w:rPr>
                <w:rFonts w:ascii="Cambria" w:hAnsi="Cambria"/>
                <w:sz w:val="20"/>
                <w:szCs w:val="20"/>
                <w:lang w:val="en-GB"/>
              </w:rPr>
              <w:t xml:space="preserve"> </w:t>
            </w:r>
            <w:proofErr w:type="spellStart"/>
            <w:r>
              <w:rPr>
                <w:rFonts w:ascii="Cambria" w:hAnsi="Cambria"/>
                <w:sz w:val="20"/>
                <w:szCs w:val="20"/>
                <w:lang w:val="en-GB"/>
              </w:rPr>
              <w:t>Stjepan</w:t>
            </w:r>
            <w:proofErr w:type="spellEnd"/>
            <w:r>
              <w:rPr>
                <w:rFonts w:ascii="Cambria" w:hAnsi="Cambria"/>
                <w:sz w:val="20"/>
                <w:szCs w:val="20"/>
                <w:lang w:val="en-GB"/>
              </w:rPr>
              <w:t xml:space="preserve"> </w:t>
            </w:r>
            <w:proofErr w:type="spellStart"/>
            <w:r>
              <w:rPr>
                <w:rFonts w:ascii="Cambria" w:hAnsi="Cambria"/>
                <w:sz w:val="20"/>
                <w:szCs w:val="20"/>
                <w:lang w:val="en-GB"/>
              </w:rPr>
              <w:t>Radić</w:t>
            </w:r>
            <w:proofErr w:type="spellEnd"/>
            <w:r>
              <w:rPr>
                <w:rFonts w:ascii="Cambria" w:hAnsi="Cambria"/>
                <w:sz w:val="20"/>
                <w:szCs w:val="20"/>
                <w:lang w:val="en-GB"/>
              </w:rPr>
              <w:t>, Ph.D.</w:t>
            </w:r>
          </w:p>
        </w:tc>
      </w:tr>
      <w:tr w:rsidR="002E4CC2" w:rsidRPr="009018D1" w:rsidTr="00D34679">
        <w:trPr>
          <w:cantSplit/>
          <w:trHeight w:val="1210"/>
        </w:trPr>
        <w:tc>
          <w:tcPr>
            <w:tcW w:w="1838" w:type="dxa"/>
            <w:shd w:val="clear" w:color="auto" w:fill="D9D9D9"/>
          </w:tcPr>
          <w:p w:rsidR="002E4CC2" w:rsidRPr="009018D1" w:rsidRDefault="002E4CC2" w:rsidP="00D34679">
            <w:pPr>
              <w:rPr>
                <w:rFonts w:ascii="Cambria" w:hAnsi="Cambria"/>
                <w:b/>
                <w:sz w:val="20"/>
                <w:szCs w:val="20"/>
                <w:lang w:val="en-GB"/>
              </w:rPr>
            </w:pPr>
            <w:r w:rsidRPr="009018D1">
              <w:rPr>
                <w:rFonts w:ascii="Cambria" w:hAnsi="Cambria"/>
                <w:b/>
                <w:sz w:val="20"/>
                <w:szCs w:val="20"/>
                <w:lang w:val="en-GB"/>
              </w:rPr>
              <w:t>Learning outcomes</w:t>
            </w:r>
          </w:p>
        </w:tc>
        <w:tc>
          <w:tcPr>
            <w:tcW w:w="7855" w:type="dxa"/>
            <w:gridSpan w:val="7"/>
            <w:tcBorders>
              <w:bottom w:val="single" w:sz="4" w:space="0" w:color="000000"/>
            </w:tcBorders>
          </w:tcPr>
          <w:p w:rsidR="002E4CC2" w:rsidRPr="009018D1" w:rsidRDefault="002E4CC2" w:rsidP="00D34679">
            <w:pPr>
              <w:ind w:left="244"/>
              <w:rPr>
                <w:rFonts w:ascii="Cambria" w:hAnsi="Cambria"/>
                <w:sz w:val="20"/>
                <w:szCs w:val="20"/>
                <w:lang w:val="en-GB"/>
              </w:rPr>
            </w:pPr>
            <w:r w:rsidRPr="009018D1">
              <w:rPr>
                <w:rFonts w:ascii="Cambria" w:hAnsi="Cambria"/>
                <w:sz w:val="20"/>
                <w:szCs w:val="20"/>
                <w:lang w:val="en-GB"/>
              </w:rPr>
              <w:t>After successfully completing the course, the student will be able to:</w:t>
            </w:r>
          </w:p>
          <w:p w:rsidR="002E4CC2" w:rsidRPr="009018D1" w:rsidRDefault="002E4CC2" w:rsidP="00D34679">
            <w:pPr>
              <w:ind w:left="244"/>
              <w:rPr>
                <w:rFonts w:ascii="Cambria" w:hAnsi="Cambria"/>
                <w:sz w:val="20"/>
                <w:szCs w:val="20"/>
                <w:lang w:val="en-GB"/>
              </w:rPr>
            </w:pPr>
            <w:r w:rsidRPr="009018D1">
              <w:rPr>
                <w:rFonts w:ascii="Cambria" w:hAnsi="Cambria"/>
                <w:sz w:val="20"/>
                <w:szCs w:val="20"/>
                <w:lang w:val="en-GB"/>
              </w:rPr>
              <w:t xml:space="preserve">1. </w:t>
            </w:r>
            <w:r w:rsidRPr="009018D1">
              <w:rPr>
                <w:rFonts w:ascii="Cambria" w:hAnsi="Cambria"/>
                <w:b/>
                <w:sz w:val="20"/>
                <w:szCs w:val="20"/>
                <w:lang w:val="en-GB"/>
              </w:rPr>
              <w:t>Name</w:t>
            </w:r>
            <w:r w:rsidRPr="009018D1">
              <w:rPr>
                <w:rFonts w:ascii="Cambria" w:hAnsi="Cambria"/>
                <w:sz w:val="20"/>
                <w:szCs w:val="20"/>
                <w:lang w:val="en-GB"/>
              </w:rPr>
              <w:t xml:space="preserve"> and </w:t>
            </w:r>
            <w:r w:rsidRPr="009018D1">
              <w:rPr>
                <w:rFonts w:ascii="Cambria" w:hAnsi="Cambria"/>
                <w:b/>
                <w:sz w:val="20"/>
                <w:szCs w:val="20"/>
                <w:lang w:val="en-GB"/>
              </w:rPr>
              <w:t>explain</w:t>
            </w:r>
            <w:r w:rsidRPr="009018D1">
              <w:rPr>
                <w:rFonts w:ascii="Cambria" w:hAnsi="Cambria"/>
                <w:sz w:val="20"/>
                <w:szCs w:val="20"/>
                <w:lang w:val="en-GB"/>
              </w:rPr>
              <w:t xml:space="preserve"> the major philosophers and directions of this period - </w:t>
            </w:r>
            <w:r w:rsidRPr="009018D1">
              <w:rPr>
                <w:rFonts w:ascii="Cambria" w:hAnsi="Cambria"/>
                <w:i/>
                <w:sz w:val="20"/>
                <w:szCs w:val="20"/>
                <w:lang w:val="en-GB"/>
              </w:rPr>
              <w:t>knowledge</w:t>
            </w:r>
            <w:r w:rsidRPr="009018D1">
              <w:rPr>
                <w:rFonts w:ascii="Cambria" w:hAnsi="Cambria"/>
                <w:sz w:val="20"/>
                <w:szCs w:val="20"/>
                <w:lang w:val="en-GB"/>
              </w:rPr>
              <w:t xml:space="preserve"> and </w:t>
            </w:r>
            <w:r w:rsidRPr="009018D1">
              <w:rPr>
                <w:rFonts w:ascii="Cambria" w:hAnsi="Cambria"/>
                <w:i/>
                <w:sz w:val="20"/>
                <w:szCs w:val="20"/>
                <w:lang w:val="en-GB"/>
              </w:rPr>
              <w:t>understanding</w:t>
            </w:r>
            <w:r w:rsidRPr="009018D1">
              <w:rPr>
                <w:rFonts w:ascii="Cambria" w:hAnsi="Cambria"/>
                <w:sz w:val="20"/>
                <w:szCs w:val="20"/>
                <w:lang w:val="en-GB"/>
              </w:rPr>
              <w:t>.</w:t>
            </w:r>
          </w:p>
          <w:p w:rsidR="002E4CC2" w:rsidRPr="009018D1" w:rsidRDefault="002E4CC2" w:rsidP="00D34679">
            <w:pPr>
              <w:ind w:left="244"/>
              <w:rPr>
                <w:rFonts w:ascii="Cambria" w:hAnsi="Cambria"/>
                <w:sz w:val="20"/>
                <w:szCs w:val="20"/>
                <w:lang w:val="en-GB"/>
              </w:rPr>
            </w:pPr>
            <w:r w:rsidRPr="009018D1">
              <w:rPr>
                <w:rFonts w:ascii="Cambria" w:hAnsi="Cambria"/>
                <w:sz w:val="20"/>
                <w:szCs w:val="20"/>
                <w:lang w:val="en-GB"/>
              </w:rPr>
              <w:t xml:space="preserve">2. </w:t>
            </w:r>
            <w:r w:rsidRPr="009018D1">
              <w:rPr>
                <w:rFonts w:ascii="Cambria" w:hAnsi="Cambria"/>
                <w:b/>
                <w:sz w:val="20"/>
                <w:szCs w:val="20"/>
                <w:lang w:val="en-GB"/>
              </w:rPr>
              <w:t>Interpret</w:t>
            </w:r>
            <w:r w:rsidRPr="009018D1">
              <w:rPr>
                <w:rFonts w:ascii="Cambria" w:hAnsi="Cambria"/>
                <w:sz w:val="20"/>
                <w:szCs w:val="20"/>
                <w:lang w:val="en-GB"/>
              </w:rPr>
              <w:t xml:space="preserve">, </w:t>
            </w:r>
            <w:r w:rsidRPr="009018D1">
              <w:rPr>
                <w:rFonts w:ascii="Cambria" w:hAnsi="Cambria"/>
                <w:b/>
                <w:sz w:val="20"/>
                <w:szCs w:val="20"/>
                <w:lang w:val="en-GB"/>
              </w:rPr>
              <w:t>compare</w:t>
            </w:r>
            <w:r w:rsidRPr="009018D1">
              <w:rPr>
                <w:rFonts w:ascii="Cambria" w:hAnsi="Cambria"/>
                <w:sz w:val="20"/>
                <w:szCs w:val="20"/>
                <w:lang w:val="en-GB"/>
              </w:rPr>
              <w:t xml:space="preserve"> and </w:t>
            </w:r>
            <w:r w:rsidRPr="009018D1">
              <w:rPr>
                <w:rFonts w:ascii="Cambria" w:hAnsi="Cambria"/>
                <w:b/>
                <w:sz w:val="20"/>
                <w:szCs w:val="20"/>
                <w:lang w:val="en-GB"/>
              </w:rPr>
              <w:t>classify</w:t>
            </w:r>
            <w:r w:rsidRPr="009018D1">
              <w:rPr>
                <w:rFonts w:ascii="Cambria" w:hAnsi="Cambria"/>
                <w:sz w:val="20"/>
                <w:szCs w:val="20"/>
                <w:lang w:val="en-GB"/>
              </w:rPr>
              <w:t xml:space="preserve"> the Greek philosophical terms/concepts such as ‘</w:t>
            </w:r>
            <w:proofErr w:type="spellStart"/>
            <w:r w:rsidRPr="009018D1">
              <w:rPr>
                <w:rFonts w:ascii="Cambria" w:hAnsi="Cambria"/>
                <w:sz w:val="20"/>
                <w:szCs w:val="20"/>
                <w:lang w:val="en-GB"/>
              </w:rPr>
              <w:t>filosofia</w:t>
            </w:r>
            <w:proofErr w:type="spellEnd"/>
            <w:r w:rsidRPr="009018D1">
              <w:rPr>
                <w:rFonts w:ascii="Cambria" w:hAnsi="Cambria"/>
                <w:sz w:val="20"/>
                <w:szCs w:val="20"/>
                <w:lang w:val="en-GB"/>
              </w:rPr>
              <w:t>’, ‘logos’, ‘</w:t>
            </w:r>
            <w:proofErr w:type="spellStart"/>
            <w:r w:rsidRPr="009018D1">
              <w:rPr>
                <w:rFonts w:ascii="Cambria" w:hAnsi="Cambria"/>
                <w:sz w:val="20"/>
                <w:szCs w:val="20"/>
                <w:lang w:val="en-GB"/>
              </w:rPr>
              <w:t>usia</w:t>
            </w:r>
            <w:proofErr w:type="spellEnd"/>
            <w:r w:rsidRPr="009018D1">
              <w:rPr>
                <w:rFonts w:ascii="Cambria" w:hAnsi="Cambria"/>
                <w:sz w:val="20"/>
                <w:szCs w:val="20"/>
                <w:lang w:val="en-GB"/>
              </w:rPr>
              <w:t>’, ‘nus’, ‘</w:t>
            </w:r>
            <w:proofErr w:type="spellStart"/>
            <w:r w:rsidRPr="009018D1">
              <w:rPr>
                <w:rFonts w:ascii="Cambria" w:hAnsi="Cambria"/>
                <w:sz w:val="20"/>
                <w:szCs w:val="20"/>
                <w:lang w:val="en-GB"/>
              </w:rPr>
              <w:t>apeiron</w:t>
            </w:r>
            <w:proofErr w:type="spellEnd"/>
            <w:r w:rsidRPr="009018D1">
              <w:rPr>
                <w:rFonts w:ascii="Cambria" w:hAnsi="Cambria"/>
                <w:sz w:val="20"/>
                <w:szCs w:val="20"/>
                <w:lang w:val="en-GB"/>
              </w:rPr>
              <w:t>’, ‘</w:t>
            </w:r>
            <w:proofErr w:type="spellStart"/>
            <w:r w:rsidRPr="009018D1">
              <w:rPr>
                <w:rFonts w:ascii="Cambria" w:hAnsi="Cambria"/>
                <w:sz w:val="20"/>
                <w:szCs w:val="20"/>
                <w:lang w:val="en-GB"/>
              </w:rPr>
              <w:t>kosmos</w:t>
            </w:r>
            <w:proofErr w:type="spellEnd"/>
            <w:r w:rsidRPr="009018D1">
              <w:rPr>
                <w:rFonts w:ascii="Cambria" w:hAnsi="Cambria"/>
                <w:sz w:val="20"/>
                <w:szCs w:val="20"/>
                <w:lang w:val="en-GB"/>
              </w:rPr>
              <w:t>’, ‘</w:t>
            </w:r>
            <w:proofErr w:type="spellStart"/>
            <w:r w:rsidRPr="009018D1">
              <w:rPr>
                <w:rFonts w:ascii="Cambria" w:hAnsi="Cambria"/>
                <w:sz w:val="20"/>
                <w:szCs w:val="20"/>
                <w:lang w:val="en-GB"/>
              </w:rPr>
              <w:t>fisis</w:t>
            </w:r>
            <w:proofErr w:type="spellEnd"/>
            <w:r w:rsidRPr="009018D1">
              <w:rPr>
                <w:rFonts w:ascii="Cambria" w:hAnsi="Cambria"/>
                <w:sz w:val="20"/>
                <w:szCs w:val="20"/>
                <w:lang w:val="en-GB"/>
              </w:rPr>
              <w:t>’, ‘</w:t>
            </w:r>
            <w:proofErr w:type="spellStart"/>
            <w:r w:rsidRPr="009018D1">
              <w:rPr>
                <w:rFonts w:ascii="Cambria" w:hAnsi="Cambria"/>
                <w:sz w:val="20"/>
                <w:szCs w:val="20"/>
                <w:lang w:val="en-GB"/>
              </w:rPr>
              <w:t>nomos</w:t>
            </w:r>
            <w:proofErr w:type="spellEnd"/>
            <w:r w:rsidRPr="009018D1">
              <w:rPr>
                <w:rFonts w:ascii="Cambria" w:hAnsi="Cambria"/>
                <w:sz w:val="20"/>
                <w:szCs w:val="20"/>
                <w:lang w:val="en-GB"/>
              </w:rPr>
              <w:t>’, ‘</w:t>
            </w:r>
            <w:proofErr w:type="spellStart"/>
            <w:r w:rsidRPr="009018D1">
              <w:rPr>
                <w:rFonts w:ascii="Cambria" w:hAnsi="Cambria"/>
                <w:sz w:val="20"/>
                <w:szCs w:val="20"/>
                <w:lang w:val="en-GB"/>
              </w:rPr>
              <w:t>anthropos</w:t>
            </w:r>
            <w:proofErr w:type="spellEnd"/>
            <w:r w:rsidRPr="009018D1">
              <w:rPr>
                <w:rFonts w:ascii="Cambria" w:hAnsi="Cambria"/>
                <w:sz w:val="20"/>
                <w:szCs w:val="20"/>
                <w:lang w:val="en-GB"/>
              </w:rPr>
              <w:t>’, ‘ethos’, ‘</w:t>
            </w:r>
            <w:proofErr w:type="spellStart"/>
            <w:r w:rsidRPr="009018D1">
              <w:rPr>
                <w:rFonts w:ascii="Cambria" w:hAnsi="Cambria"/>
                <w:sz w:val="20"/>
                <w:szCs w:val="20"/>
                <w:lang w:val="en-GB"/>
              </w:rPr>
              <w:t>politeia</w:t>
            </w:r>
            <w:proofErr w:type="spellEnd"/>
            <w:r w:rsidRPr="009018D1">
              <w:rPr>
                <w:rFonts w:ascii="Cambria" w:hAnsi="Cambria"/>
                <w:sz w:val="20"/>
                <w:szCs w:val="20"/>
                <w:lang w:val="en-GB"/>
              </w:rPr>
              <w:t xml:space="preserve">’ - </w:t>
            </w:r>
            <w:r w:rsidRPr="009018D1">
              <w:rPr>
                <w:rFonts w:ascii="Cambria" w:hAnsi="Cambria"/>
                <w:i/>
                <w:sz w:val="20"/>
                <w:szCs w:val="20"/>
                <w:lang w:val="en-GB"/>
              </w:rPr>
              <w:t>application/analysis/synthesis</w:t>
            </w:r>
            <w:r w:rsidRPr="009018D1">
              <w:rPr>
                <w:rFonts w:ascii="Cambria" w:hAnsi="Cambria"/>
                <w:sz w:val="20"/>
                <w:szCs w:val="20"/>
                <w:lang w:val="en-GB"/>
              </w:rPr>
              <w:t>.</w:t>
            </w:r>
          </w:p>
          <w:p w:rsidR="002E4CC2" w:rsidRPr="009018D1" w:rsidRDefault="002E4CC2" w:rsidP="00D34679">
            <w:pPr>
              <w:ind w:left="244"/>
              <w:rPr>
                <w:rFonts w:ascii="Cambria" w:hAnsi="Cambria"/>
                <w:sz w:val="20"/>
                <w:szCs w:val="20"/>
                <w:lang w:val="en-GB"/>
              </w:rPr>
            </w:pPr>
            <w:r w:rsidRPr="009018D1">
              <w:rPr>
                <w:rFonts w:ascii="Cambria" w:hAnsi="Cambria"/>
                <w:sz w:val="20"/>
                <w:szCs w:val="20"/>
                <w:lang w:val="en-GB"/>
              </w:rPr>
              <w:t xml:space="preserve">3. </w:t>
            </w:r>
            <w:r w:rsidRPr="009018D1">
              <w:rPr>
                <w:rFonts w:ascii="Cambria" w:hAnsi="Cambria"/>
                <w:b/>
                <w:sz w:val="20"/>
                <w:szCs w:val="20"/>
                <w:lang w:val="en-GB"/>
              </w:rPr>
              <w:t>Judge</w:t>
            </w:r>
            <w:r w:rsidRPr="009018D1">
              <w:rPr>
                <w:rFonts w:ascii="Cambria" w:hAnsi="Cambria"/>
                <w:sz w:val="20"/>
                <w:szCs w:val="20"/>
                <w:lang w:val="en-GB"/>
              </w:rPr>
              <w:t xml:space="preserve"> the importance of Greek philosophy considering the fundamental philosophical questions and problems it discussed which </w:t>
            </w:r>
            <w:proofErr w:type="gramStart"/>
            <w:r w:rsidRPr="009018D1">
              <w:rPr>
                <w:rFonts w:ascii="Cambria" w:hAnsi="Cambria"/>
                <w:sz w:val="20"/>
                <w:szCs w:val="20"/>
                <w:lang w:val="en-GB"/>
              </w:rPr>
              <w:t>are still today the subject of controversy in the philosophy</w:t>
            </w:r>
            <w:proofErr w:type="gramEnd"/>
            <w:r w:rsidRPr="009018D1">
              <w:rPr>
                <w:rFonts w:ascii="Cambria" w:hAnsi="Cambria"/>
                <w:sz w:val="20"/>
                <w:szCs w:val="20"/>
                <w:lang w:val="en-GB"/>
              </w:rPr>
              <w:t xml:space="preserve">: relativism, scepticism, nihilism, subjectivism, etc. - </w:t>
            </w:r>
            <w:r w:rsidRPr="009018D1">
              <w:rPr>
                <w:rFonts w:ascii="Cambria" w:hAnsi="Cambria"/>
                <w:i/>
                <w:sz w:val="20"/>
                <w:szCs w:val="20"/>
                <w:lang w:val="en-GB"/>
              </w:rPr>
              <w:t>evaluation/acquisition of values</w:t>
            </w:r>
            <w:r w:rsidRPr="009018D1">
              <w:rPr>
                <w:rFonts w:ascii="Cambria" w:hAnsi="Cambria"/>
                <w:sz w:val="20"/>
                <w:szCs w:val="20"/>
                <w:lang w:val="en-GB"/>
              </w:rPr>
              <w:t>.</w:t>
            </w:r>
          </w:p>
          <w:p w:rsidR="002E4CC2" w:rsidRPr="009018D1" w:rsidRDefault="002E4CC2" w:rsidP="00D34679">
            <w:pPr>
              <w:ind w:left="244"/>
              <w:rPr>
                <w:rFonts w:ascii="Cambria" w:hAnsi="Cambria"/>
                <w:sz w:val="20"/>
                <w:szCs w:val="20"/>
                <w:lang w:val="en-GB"/>
              </w:rPr>
            </w:pPr>
            <w:proofErr w:type="gramStart"/>
            <w:r w:rsidRPr="009018D1">
              <w:rPr>
                <w:rFonts w:ascii="Cambria" w:hAnsi="Cambria"/>
                <w:sz w:val="20"/>
                <w:szCs w:val="20"/>
                <w:lang w:val="en-GB"/>
              </w:rPr>
              <w:t xml:space="preserve">4. </w:t>
            </w:r>
            <w:r w:rsidRPr="009018D1">
              <w:rPr>
                <w:rFonts w:ascii="Cambria" w:hAnsi="Cambria"/>
                <w:b/>
                <w:sz w:val="20"/>
                <w:szCs w:val="20"/>
                <w:lang w:val="en-GB"/>
              </w:rPr>
              <w:t>Integrate</w:t>
            </w:r>
            <w:r w:rsidRPr="009018D1">
              <w:rPr>
                <w:rFonts w:ascii="Cambria" w:hAnsi="Cambria"/>
                <w:sz w:val="20"/>
                <w:szCs w:val="20"/>
                <w:lang w:val="en-GB"/>
              </w:rPr>
              <w:t xml:space="preserve"> the knowledge acquired in the course ‘The History of Philosophy of Antiquity’ into the knowledge of ancient history in general, with particular emphasis on the relationship of Persian and Egyptian thought flows to Greece, the impact of the conquests of Alexander the Great on the Greek new understanding of the world, and the contact of Roman Empire with Greek philosophy and culture </w:t>
            </w:r>
            <w:r w:rsidRPr="009018D1">
              <w:rPr>
                <w:rFonts w:ascii="Cambria" w:hAnsi="Cambria"/>
                <w:i/>
                <w:sz w:val="20"/>
                <w:szCs w:val="20"/>
                <w:lang w:val="en-GB"/>
              </w:rPr>
              <w:t>- the organization of values</w:t>
            </w:r>
            <w:r w:rsidRPr="009018D1">
              <w:rPr>
                <w:rFonts w:ascii="Cambria" w:hAnsi="Cambria"/>
                <w:sz w:val="20"/>
                <w:szCs w:val="20"/>
                <w:lang w:val="en-GB"/>
              </w:rPr>
              <w:t>.</w:t>
            </w:r>
            <w:proofErr w:type="gramEnd"/>
          </w:p>
          <w:p w:rsidR="002E4CC2" w:rsidRPr="009018D1" w:rsidRDefault="002E4CC2" w:rsidP="00D34679">
            <w:pPr>
              <w:ind w:left="244"/>
              <w:rPr>
                <w:rFonts w:ascii="Cambria" w:hAnsi="Cambria"/>
                <w:sz w:val="20"/>
                <w:szCs w:val="20"/>
                <w:lang w:val="en-GB"/>
              </w:rPr>
            </w:pPr>
            <w:r w:rsidRPr="009018D1">
              <w:rPr>
                <w:rFonts w:ascii="Cambria" w:hAnsi="Cambria"/>
                <w:sz w:val="20"/>
                <w:szCs w:val="20"/>
                <w:lang w:val="en-GB"/>
              </w:rPr>
              <w:t xml:space="preserve">5. </w:t>
            </w:r>
            <w:r w:rsidRPr="009018D1">
              <w:rPr>
                <w:rFonts w:ascii="Cambria" w:hAnsi="Cambria"/>
                <w:b/>
                <w:sz w:val="20"/>
                <w:szCs w:val="20"/>
                <w:lang w:val="en-GB"/>
              </w:rPr>
              <w:t>Distinguish</w:t>
            </w:r>
            <w:r w:rsidRPr="009018D1">
              <w:rPr>
                <w:rFonts w:ascii="Cambria" w:hAnsi="Cambria"/>
                <w:sz w:val="20"/>
                <w:szCs w:val="20"/>
                <w:lang w:val="en-GB"/>
              </w:rPr>
              <w:t xml:space="preserve"> the specific Greek philosophy from Eastern philosophies of life - </w:t>
            </w:r>
            <w:r w:rsidRPr="009018D1">
              <w:rPr>
                <w:rFonts w:ascii="Cambria" w:hAnsi="Cambria"/>
                <w:i/>
                <w:sz w:val="20"/>
                <w:szCs w:val="20"/>
                <w:lang w:val="en-GB"/>
              </w:rPr>
              <w:t>personalization</w:t>
            </w:r>
            <w:r w:rsidRPr="009018D1">
              <w:rPr>
                <w:rFonts w:ascii="Cambria" w:hAnsi="Cambria"/>
                <w:sz w:val="20"/>
                <w:szCs w:val="20"/>
                <w:lang w:val="en-GB"/>
              </w:rPr>
              <w:t>.</w:t>
            </w:r>
          </w:p>
          <w:p w:rsidR="002E4CC2" w:rsidRPr="009018D1" w:rsidRDefault="002E4CC2" w:rsidP="00D34679">
            <w:pPr>
              <w:ind w:left="244"/>
              <w:rPr>
                <w:rFonts w:ascii="Cambria" w:hAnsi="Cambria"/>
                <w:sz w:val="20"/>
                <w:szCs w:val="20"/>
                <w:lang w:val="en-GB"/>
              </w:rPr>
            </w:pPr>
            <w:r w:rsidRPr="009018D1">
              <w:rPr>
                <w:rFonts w:ascii="Cambria" w:hAnsi="Cambria"/>
                <w:sz w:val="20"/>
                <w:szCs w:val="20"/>
                <w:lang w:val="en-GB"/>
              </w:rPr>
              <w:t xml:space="preserve">6. </w:t>
            </w:r>
            <w:r w:rsidRPr="009018D1">
              <w:rPr>
                <w:rFonts w:ascii="Cambria" w:hAnsi="Cambria"/>
                <w:b/>
                <w:sz w:val="20"/>
                <w:szCs w:val="20"/>
                <w:lang w:val="en-GB"/>
              </w:rPr>
              <w:t>Locate</w:t>
            </w:r>
            <w:r w:rsidRPr="009018D1">
              <w:rPr>
                <w:rFonts w:ascii="Cambria" w:hAnsi="Cambria"/>
                <w:sz w:val="20"/>
                <w:szCs w:val="20"/>
                <w:lang w:val="en-GB"/>
              </w:rPr>
              <w:t xml:space="preserve"> and </w:t>
            </w:r>
            <w:r w:rsidRPr="009018D1">
              <w:rPr>
                <w:rFonts w:ascii="Cambria" w:hAnsi="Cambria"/>
                <w:b/>
                <w:sz w:val="20"/>
                <w:szCs w:val="20"/>
                <w:lang w:val="en-GB"/>
              </w:rPr>
              <w:t>place</w:t>
            </w:r>
            <w:r w:rsidRPr="009018D1">
              <w:rPr>
                <w:rFonts w:ascii="Cambria" w:hAnsi="Cambria"/>
                <w:sz w:val="20"/>
                <w:szCs w:val="20"/>
                <w:lang w:val="en-GB"/>
              </w:rPr>
              <w:t xml:space="preserve"> individual directions of later philosophy (which they will encounter in the later course of study) in the context of ancient Greek philosophy: Platonism, idealism, </w:t>
            </w:r>
            <w:proofErr w:type="spellStart"/>
            <w:r w:rsidRPr="009018D1">
              <w:rPr>
                <w:rFonts w:ascii="Cambria" w:hAnsi="Cambria"/>
                <w:sz w:val="20"/>
                <w:szCs w:val="20"/>
                <w:lang w:val="en-GB"/>
              </w:rPr>
              <w:t>Aristotelianism</w:t>
            </w:r>
            <w:proofErr w:type="spellEnd"/>
            <w:r w:rsidRPr="009018D1">
              <w:rPr>
                <w:rFonts w:ascii="Cambria" w:hAnsi="Cambria"/>
                <w:sz w:val="20"/>
                <w:szCs w:val="20"/>
                <w:lang w:val="en-GB"/>
              </w:rPr>
              <w:t xml:space="preserve">… - </w:t>
            </w:r>
            <w:r w:rsidRPr="009018D1">
              <w:rPr>
                <w:rFonts w:ascii="Cambria" w:hAnsi="Cambria"/>
                <w:i/>
                <w:sz w:val="20"/>
                <w:szCs w:val="20"/>
                <w:lang w:val="en-GB"/>
              </w:rPr>
              <w:t>articulation/synthesis</w:t>
            </w:r>
          </w:p>
          <w:p w:rsidR="002E4CC2" w:rsidRPr="009018D1" w:rsidRDefault="002E4CC2" w:rsidP="00D34679">
            <w:pPr>
              <w:ind w:left="244"/>
              <w:rPr>
                <w:rFonts w:ascii="Cambria" w:hAnsi="Cambria"/>
                <w:sz w:val="20"/>
                <w:szCs w:val="20"/>
                <w:lang w:val="en-GB"/>
              </w:rPr>
            </w:pPr>
            <w:r w:rsidRPr="009018D1">
              <w:rPr>
                <w:rFonts w:ascii="Cambria" w:hAnsi="Cambria"/>
                <w:sz w:val="20"/>
                <w:szCs w:val="20"/>
                <w:lang w:val="en-GB"/>
              </w:rPr>
              <w:t xml:space="preserve">7. </w:t>
            </w:r>
            <w:r w:rsidRPr="009018D1">
              <w:rPr>
                <w:rFonts w:ascii="Cambria" w:hAnsi="Cambria"/>
                <w:b/>
                <w:sz w:val="20"/>
                <w:szCs w:val="20"/>
                <w:lang w:val="en-GB"/>
              </w:rPr>
              <w:t>Use</w:t>
            </w:r>
            <w:r w:rsidRPr="009018D1">
              <w:rPr>
                <w:rFonts w:ascii="Cambria" w:hAnsi="Cambria"/>
                <w:sz w:val="20"/>
                <w:szCs w:val="20"/>
                <w:lang w:val="en-GB"/>
              </w:rPr>
              <w:t xml:space="preserve"> the knowledge acquired in the course ‘The History of Philosophy of Antiquity’ in reading the classics of Greek philosophy like Plato (</w:t>
            </w:r>
            <w:r w:rsidRPr="009018D1">
              <w:rPr>
                <w:rFonts w:ascii="Cambria" w:hAnsi="Cambria"/>
                <w:i/>
                <w:sz w:val="20"/>
                <w:szCs w:val="20"/>
                <w:lang w:val="en-GB"/>
              </w:rPr>
              <w:t>Republic</w:t>
            </w:r>
            <w:r w:rsidRPr="009018D1">
              <w:rPr>
                <w:rFonts w:ascii="Cambria" w:hAnsi="Cambria"/>
                <w:sz w:val="20"/>
                <w:szCs w:val="20"/>
                <w:lang w:val="en-GB"/>
              </w:rPr>
              <w:t>) and Aristotle (</w:t>
            </w:r>
            <w:r w:rsidRPr="009018D1">
              <w:rPr>
                <w:rFonts w:ascii="Cambria" w:hAnsi="Cambria"/>
                <w:i/>
                <w:sz w:val="20"/>
                <w:szCs w:val="20"/>
                <w:lang w:val="en-GB"/>
              </w:rPr>
              <w:t>On the Soul</w:t>
            </w:r>
            <w:r w:rsidRPr="009018D1">
              <w:rPr>
                <w:rFonts w:ascii="Cambria" w:hAnsi="Cambria"/>
                <w:sz w:val="20"/>
                <w:szCs w:val="20"/>
                <w:lang w:val="en-GB"/>
              </w:rPr>
              <w:t xml:space="preserve">) - </w:t>
            </w:r>
            <w:r w:rsidRPr="009018D1">
              <w:rPr>
                <w:rFonts w:ascii="Cambria" w:hAnsi="Cambria"/>
                <w:i/>
                <w:sz w:val="20"/>
                <w:szCs w:val="20"/>
                <w:lang w:val="en-GB"/>
              </w:rPr>
              <w:t>naturalization</w:t>
            </w:r>
            <w:r w:rsidRPr="009018D1">
              <w:rPr>
                <w:rFonts w:ascii="Cambria" w:hAnsi="Cambria"/>
                <w:sz w:val="20"/>
                <w:szCs w:val="20"/>
                <w:lang w:val="en-GB"/>
              </w:rPr>
              <w:t>.</w:t>
            </w:r>
          </w:p>
        </w:tc>
      </w:tr>
      <w:tr w:rsidR="002E4CC2" w:rsidRPr="009018D1" w:rsidTr="00D34679">
        <w:trPr>
          <w:cantSplit/>
          <w:trHeight w:val="90"/>
        </w:trPr>
        <w:tc>
          <w:tcPr>
            <w:tcW w:w="1838" w:type="dxa"/>
            <w:vMerge w:val="restart"/>
            <w:shd w:val="clear" w:color="auto" w:fill="D9D9D9"/>
          </w:tcPr>
          <w:p w:rsidR="002E4CC2" w:rsidRPr="009018D1" w:rsidRDefault="002E4CC2" w:rsidP="00D34679">
            <w:pPr>
              <w:rPr>
                <w:rFonts w:ascii="Cambria" w:hAnsi="Cambria"/>
                <w:b/>
                <w:sz w:val="20"/>
                <w:szCs w:val="20"/>
                <w:lang w:val="en-GB"/>
              </w:rPr>
            </w:pPr>
            <w:r w:rsidRPr="009018D1">
              <w:rPr>
                <w:rFonts w:ascii="Cambria" w:hAnsi="Cambria"/>
                <w:b/>
                <w:sz w:val="20"/>
                <w:szCs w:val="20"/>
                <w:lang w:val="en-GB"/>
              </w:rPr>
              <w:t>The link between learning outcomes, teaching methods and evaluation</w:t>
            </w:r>
          </w:p>
        </w:tc>
        <w:tc>
          <w:tcPr>
            <w:tcW w:w="1701" w:type="dxa"/>
            <w:vMerge w:val="restart"/>
            <w:shd w:val="clear" w:color="auto" w:fill="D6E3BC"/>
            <w:vAlign w:val="center"/>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Teaching activity</w:t>
            </w:r>
          </w:p>
        </w:tc>
        <w:tc>
          <w:tcPr>
            <w:tcW w:w="709" w:type="dxa"/>
            <w:vMerge w:val="restart"/>
            <w:shd w:val="clear" w:color="auto" w:fill="D6E3BC"/>
            <w:vAlign w:val="center"/>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ECTS</w:t>
            </w:r>
          </w:p>
        </w:tc>
        <w:tc>
          <w:tcPr>
            <w:tcW w:w="992" w:type="dxa"/>
            <w:vMerge w:val="restart"/>
            <w:shd w:val="clear" w:color="auto" w:fill="D6E3BC"/>
            <w:vAlign w:val="center"/>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Learning outcome</w:t>
            </w:r>
          </w:p>
        </w:tc>
        <w:tc>
          <w:tcPr>
            <w:tcW w:w="1757" w:type="dxa"/>
            <w:vMerge w:val="restart"/>
            <w:shd w:val="clear" w:color="auto" w:fill="D6E3BC"/>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Student activity</w:t>
            </w:r>
          </w:p>
        </w:tc>
        <w:tc>
          <w:tcPr>
            <w:tcW w:w="1482" w:type="dxa"/>
            <w:vMerge w:val="restart"/>
            <w:shd w:val="clear" w:color="auto" w:fill="D6E3BC"/>
            <w:vAlign w:val="center"/>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Methods of assessment</w:t>
            </w:r>
          </w:p>
        </w:tc>
        <w:tc>
          <w:tcPr>
            <w:tcW w:w="1214" w:type="dxa"/>
            <w:gridSpan w:val="2"/>
            <w:shd w:val="clear" w:color="auto" w:fill="D6E3BC"/>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Points</w:t>
            </w:r>
          </w:p>
        </w:tc>
      </w:tr>
      <w:tr w:rsidR="002E4CC2" w:rsidRPr="009018D1" w:rsidTr="00D34679">
        <w:trPr>
          <w:cantSplit/>
          <w:trHeight w:val="90"/>
        </w:trPr>
        <w:tc>
          <w:tcPr>
            <w:tcW w:w="1838" w:type="dxa"/>
            <w:vMerge/>
            <w:shd w:val="clear" w:color="auto" w:fill="D9D9D9"/>
          </w:tcPr>
          <w:p w:rsidR="002E4CC2" w:rsidRPr="009018D1" w:rsidRDefault="002E4CC2" w:rsidP="00D34679">
            <w:pPr>
              <w:rPr>
                <w:rFonts w:ascii="Cambria" w:hAnsi="Cambria"/>
                <w:b/>
                <w:sz w:val="20"/>
                <w:szCs w:val="20"/>
                <w:lang w:val="en-GB"/>
              </w:rPr>
            </w:pPr>
          </w:p>
        </w:tc>
        <w:tc>
          <w:tcPr>
            <w:tcW w:w="1701" w:type="dxa"/>
            <w:vMerge/>
            <w:shd w:val="clear" w:color="auto" w:fill="D6E3BC"/>
          </w:tcPr>
          <w:p w:rsidR="002E4CC2" w:rsidRPr="009018D1" w:rsidRDefault="002E4CC2" w:rsidP="00D34679">
            <w:pPr>
              <w:jc w:val="center"/>
              <w:rPr>
                <w:rFonts w:ascii="Cambria" w:hAnsi="Cambria"/>
                <w:sz w:val="20"/>
                <w:szCs w:val="20"/>
                <w:lang w:val="en-GB"/>
              </w:rPr>
            </w:pPr>
          </w:p>
        </w:tc>
        <w:tc>
          <w:tcPr>
            <w:tcW w:w="709" w:type="dxa"/>
            <w:vMerge/>
            <w:shd w:val="clear" w:color="auto" w:fill="D6E3BC"/>
          </w:tcPr>
          <w:p w:rsidR="002E4CC2" w:rsidRPr="009018D1" w:rsidRDefault="002E4CC2" w:rsidP="00D34679">
            <w:pPr>
              <w:jc w:val="center"/>
              <w:rPr>
                <w:rFonts w:ascii="Cambria" w:hAnsi="Cambria"/>
                <w:sz w:val="20"/>
                <w:szCs w:val="20"/>
                <w:lang w:val="en-GB"/>
              </w:rPr>
            </w:pPr>
          </w:p>
        </w:tc>
        <w:tc>
          <w:tcPr>
            <w:tcW w:w="992" w:type="dxa"/>
            <w:vMerge/>
            <w:shd w:val="clear" w:color="auto" w:fill="D6E3BC"/>
          </w:tcPr>
          <w:p w:rsidR="002E4CC2" w:rsidRPr="009018D1" w:rsidRDefault="002E4CC2" w:rsidP="00D34679">
            <w:pPr>
              <w:jc w:val="center"/>
              <w:rPr>
                <w:rFonts w:ascii="Cambria" w:hAnsi="Cambria"/>
                <w:sz w:val="20"/>
                <w:szCs w:val="20"/>
                <w:lang w:val="en-GB"/>
              </w:rPr>
            </w:pPr>
          </w:p>
        </w:tc>
        <w:tc>
          <w:tcPr>
            <w:tcW w:w="1757" w:type="dxa"/>
            <w:vMerge/>
            <w:shd w:val="clear" w:color="auto" w:fill="D6E3BC"/>
          </w:tcPr>
          <w:p w:rsidR="002E4CC2" w:rsidRPr="009018D1" w:rsidRDefault="002E4CC2" w:rsidP="00D34679">
            <w:pPr>
              <w:jc w:val="center"/>
              <w:rPr>
                <w:rFonts w:ascii="Cambria" w:hAnsi="Cambria"/>
                <w:sz w:val="20"/>
                <w:szCs w:val="20"/>
                <w:lang w:val="en-GB"/>
              </w:rPr>
            </w:pPr>
          </w:p>
        </w:tc>
        <w:tc>
          <w:tcPr>
            <w:tcW w:w="1482" w:type="dxa"/>
            <w:vMerge/>
            <w:shd w:val="clear" w:color="auto" w:fill="D6E3BC"/>
          </w:tcPr>
          <w:p w:rsidR="002E4CC2" w:rsidRPr="009018D1" w:rsidRDefault="002E4CC2" w:rsidP="00D34679">
            <w:pPr>
              <w:jc w:val="center"/>
              <w:rPr>
                <w:rFonts w:ascii="Cambria" w:hAnsi="Cambria"/>
                <w:sz w:val="20"/>
                <w:szCs w:val="20"/>
                <w:lang w:val="en-GB"/>
              </w:rPr>
            </w:pPr>
          </w:p>
        </w:tc>
        <w:tc>
          <w:tcPr>
            <w:tcW w:w="663" w:type="dxa"/>
            <w:shd w:val="clear" w:color="auto" w:fill="D6E3BC"/>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min</w:t>
            </w:r>
          </w:p>
        </w:tc>
        <w:tc>
          <w:tcPr>
            <w:tcW w:w="551" w:type="dxa"/>
            <w:shd w:val="clear" w:color="auto" w:fill="D6E3BC"/>
          </w:tcPr>
          <w:p w:rsidR="002E4CC2" w:rsidRPr="009018D1" w:rsidRDefault="002E4CC2" w:rsidP="00D34679">
            <w:pPr>
              <w:ind w:left="-183" w:right="-72"/>
              <w:jc w:val="center"/>
              <w:rPr>
                <w:rFonts w:ascii="Cambria" w:hAnsi="Cambria"/>
                <w:sz w:val="20"/>
                <w:szCs w:val="20"/>
                <w:lang w:val="en-GB"/>
              </w:rPr>
            </w:pPr>
            <w:r w:rsidRPr="009018D1">
              <w:rPr>
                <w:rFonts w:ascii="Cambria" w:hAnsi="Cambria"/>
                <w:sz w:val="20"/>
                <w:szCs w:val="20"/>
                <w:lang w:val="en-GB"/>
              </w:rPr>
              <w:t>max</w:t>
            </w:r>
          </w:p>
        </w:tc>
      </w:tr>
      <w:tr w:rsidR="002E4CC2" w:rsidRPr="009018D1" w:rsidTr="00D34679">
        <w:trPr>
          <w:cantSplit/>
          <w:trHeight w:val="190"/>
        </w:trPr>
        <w:tc>
          <w:tcPr>
            <w:tcW w:w="1838" w:type="dxa"/>
            <w:vMerge/>
            <w:shd w:val="clear" w:color="auto" w:fill="D9D9D9"/>
          </w:tcPr>
          <w:p w:rsidR="002E4CC2" w:rsidRPr="009018D1" w:rsidRDefault="002E4CC2" w:rsidP="00D34679">
            <w:pPr>
              <w:rPr>
                <w:rFonts w:ascii="Cambria" w:hAnsi="Cambria"/>
                <w:b/>
                <w:sz w:val="20"/>
                <w:szCs w:val="20"/>
                <w:lang w:val="en-GB"/>
              </w:rPr>
            </w:pPr>
          </w:p>
        </w:tc>
        <w:tc>
          <w:tcPr>
            <w:tcW w:w="1701"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Course lectures in His. of Phil. Antiquity</w:t>
            </w:r>
          </w:p>
        </w:tc>
        <w:tc>
          <w:tcPr>
            <w:tcW w:w="709"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w:t>
            </w:r>
          </w:p>
        </w:tc>
        <w:tc>
          <w:tcPr>
            <w:tcW w:w="992"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1-6</w:t>
            </w:r>
          </w:p>
        </w:tc>
        <w:tc>
          <w:tcPr>
            <w:tcW w:w="1757"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Presence at lectures</w:t>
            </w:r>
          </w:p>
        </w:tc>
        <w:tc>
          <w:tcPr>
            <w:tcW w:w="1482"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Records of lecture attendance</w:t>
            </w:r>
          </w:p>
        </w:tc>
        <w:tc>
          <w:tcPr>
            <w:tcW w:w="663" w:type="dxa"/>
          </w:tcPr>
          <w:p w:rsidR="002E4CC2" w:rsidRPr="009018D1" w:rsidRDefault="002E4CC2" w:rsidP="00D34679">
            <w:pPr>
              <w:ind w:left="-4"/>
              <w:jc w:val="center"/>
              <w:rPr>
                <w:rFonts w:ascii="Cambria" w:hAnsi="Cambria"/>
                <w:sz w:val="20"/>
                <w:szCs w:val="20"/>
                <w:lang w:val="en-GB"/>
              </w:rPr>
            </w:pPr>
            <w:r w:rsidRPr="009018D1">
              <w:rPr>
                <w:rFonts w:ascii="Cambria" w:hAnsi="Cambria"/>
                <w:sz w:val="20"/>
                <w:szCs w:val="20"/>
                <w:lang w:val="en-GB"/>
              </w:rPr>
              <w:t>7</w:t>
            </w:r>
          </w:p>
        </w:tc>
        <w:tc>
          <w:tcPr>
            <w:tcW w:w="551"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10</w:t>
            </w:r>
          </w:p>
        </w:tc>
      </w:tr>
      <w:tr w:rsidR="002E4CC2" w:rsidRPr="009018D1" w:rsidTr="00D34679">
        <w:trPr>
          <w:cantSplit/>
          <w:trHeight w:val="190"/>
        </w:trPr>
        <w:tc>
          <w:tcPr>
            <w:tcW w:w="1838" w:type="dxa"/>
            <w:vMerge/>
            <w:shd w:val="clear" w:color="auto" w:fill="D9D9D9"/>
          </w:tcPr>
          <w:p w:rsidR="002E4CC2" w:rsidRPr="009018D1" w:rsidRDefault="002E4CC2" w:rsidP="00D34679">
            <w:pPr>
              <w:rPr>
                <w:rFonts w:ascii="Cambria" w:hAnsi="Cambria"/>
                <w:b/>
                <w:sz w:val="20"/>
                <w:szCs w:val="20"/>
                <w:lang w:val="en-GB"/>
              </w:rPr>
            </w:pPr>
          </w:p>
        </w:tc>
        <w:tc>
          <w:tcPr>
            <w:tcW w:w="1701"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Reading the texts of Greek philosophers – classics, and discussion on the topic during lectures</w:t>
            </w:r>
          </w:p>
        </w:tc>
        <w:tc>
          <w:tcPr>
            <w:tcW w:w="709"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0.5</w:t>
            </w:r>
          </w:p>
        </w:tc>
        <w:tc>
          <w:tcPr>
            <w:tcW w:w="992"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7</w:t>
            </w:r>
          </w:p>
        </w:tc>
        <w:tc>
          <w:tcPr>
            <w:tcW w:w="1757"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Presence with personal (active) participation</w:t>
            </w:r>
          </w:p>
        </w:tc>
        <w:tc>
          <w:tcPr>
            <w:tcW w:w="1482"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Lecturer’s personal records of student’s participation (+ mark, etc.)</w:t>
            </w:r>
          </w:p>
        </w:tc>
        <w:tc>
          <w:tcPr>
            <w:tcW w:w="663"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7</w:t>
            </w:r>
          </w:p>
        </w:tc>
        <w:tc>
          <w:tcPr>
            <w:tcW w:w="551"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10</w:t>
            </w:r>
          </w:p>
        </w:tc>
      </w:tr>
      <w:tr w:rsidR="002E4CC2" w:rsidRPr="009018D1" w:rsidTr="00D34679">
        <w:trPr>
          <w:cantSplit/>
          <w:trHeight w:val="190"/>
        </w:trPr>
        <w:tc>
          <w:tcPr>
            <w:tcW w:w="1838" w:type="dxa"/>
            <w:vMerge/>
            <w:shd w:val="clear" w:color="auto" w:fill="D9D9D9"/>
          </w:tcPr>
          <w:p w:rsidR="002E4CC2" w:rsidRPr="009018D1" w:rsidRDefault="002E4CC2" w:rsidP="00D34679">
            <w:pPr>
              <w:rPr>
                <w:rFonts w:ascii="Cambria" w:hAnsi="Cambria"/>
                <w:b/>
                <w:sz w:val="20"/>
                <w:szCs w:val="20"/>
                <w:lang w:val="en-GB"/>
              </w:rPr>
            </w:pPr>
          </w:p>
        </w:tc>
        <w:tc>
          <w:tcPr>
            <w:tcW w:w="1701"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Continuous assessment (midterm exam)</w:t>
            </w:r>
          </w:p>
        </w:tc>
        <w:tc>
          <w:tcPr>
            <w:tcW w:w="709"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0.5</w:t>
            </w:r>
          </w:p>
        </w:tc>
        <w:tc>
          <w:tcPr>
            <w:tcW w:w="992"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1-7</w:t>
            </w:r>
          </w:p>
        </w:tc>
        <w:tc>
          <w:tcPr>
            <w:tcW w:w="1757"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Preparing a short report</w:t>
            </w:r>
          </w:p>
        </w:tc>
        <w:tc>
          <w:tcPr>
            <w:tcW w:w="1482"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Report grade</w:t>
            </w:r>
          </w:p>
        </w:tc>
        <w:tc>
          <w:tcPr>
            <w:tcW w:w="663"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6</w:t>
            </w:r>
          </w:p>
        </w:tc>
        <w:tc>
          <w:tcPr>
            <w:tcW w:w="551"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10</w:t>
            </w:r>
          </w:p>
        </w:tc>
      </w:tr>
      <w:tr w:rsidR="002E4CC2" w:rsidRPr="009018D1" w:rsidTr="00D34679">
        <w:trPr>
          <w:cantSplit/>
          <w:trHeight w:val="190"/>
        </w:trPr>
        <w:tc>
          <w:tcPr>
            <w:tcW w:w="1838" w:type="dxa"/>
            <w:vMerge/>
            <w:shd w:val="clear" w:color="auto" w:fill="D9D9D9"/>
          </w:tcPr>
          <w:p w:rsidR="002E4CC2" w:rsidRPr="009018D1" w:rsidRDefault="002E4CC2" w:rsidP="00D34679">
            <w:pPr>
              <w:rPr>
                <w:rFonts w:ascii="Cambria" w:hAnsi="Cambria"/>
                <w:b/>
                <w:sz w:val="20"/>
                <w:szCs w:val="20"/>
                <w:lang w:val="en-GB"/>
              </w:rPr>
            </w:pPr>
          </w:p>
        </w:tc>
        <w:tc>
          <w:tcPr>
            <w:tcW w:w="1701"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Final exam</w:t>
            </w:r>
          </w:p>
        </w:tc>
        <w:tc>
          <w:tcPr>
            <w:tcW w:w="709"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w:t>
            </w:r>
          </w:p>
        </w:tc>
        <w:tc>
          <w:tcPr>
            <w:tcW w:w="992"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1-7</w:t>
            </w:r>
          </w:p>
        </w:tc>
        <w:tc>
          <w:tcPr>
            <w:tcW w:w="1757"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Preparation for the oral exam</w:t>
            </w:r>
          </w:p>
        </w:tc>
        <w:tc>
          <w:tcPr>
            <w:tcW w:w="1482"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Written and/or oral exam</w:t>
            </w:r>
          </w:p>
        </w:tc>
        <w:tc>
          <w:tcPr>
            <w:tcW w:w="663"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35</w:t>
            </w:r>
          </w:p>
        </w:tc>
        <w:tc>
          <w:tcPr>
            <w:tcW w:w="551" w:type="dxa"/>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70</w:t>
            </w:r>
          </w:p>
        </w:tc>
      </w:tr>
      <w:tr w:rsidR="002E4CC2" w:rsidRPr="009018D1" w:rsidTr="00D34679">
        <w:trPr>
          <w:cantSplit/>
          <w:trHeight w:val="190"/>
        </w:trPr>
        <w:tc>
          <w:tcPr>
            <w:tcW w:w="1838" w:type="dxa"/>
            <w:vMerge/>
            <w:shd w:val="clear" w:color="auto" w:fill="D9D9D9"/>
          </w:tcPr>
          <w:p w:rsidR="002E4CC2" w:rsidRPr="009018D1" w:rsidRDefault="002E4CC2" w:rsidP="00D34679">
            <w:pPr>
              <w:rPr>
                <w:rFonts w:ascii="Cambria" w:hAnsi="Cambria"/>
                <w:b/>
                <w:sz w:val="20"/>
                <w:szCs w:val="20"/>
                <w:lang w:val="en-GB"/>
              </w:rPr>
            </w:pPr>
          </w:p>
        </w:tc>
        <w:tc>
          <w:tcPr>
            <w:tcW w:w="1701" w:type="dxa"/>
          </w:tcPr>
          <w:p w:rsidR="002E4CC2" w:rsidRPr="009018D1" w:rsidRDefault="002E4CC2" w:rsidP="00D34679">
            <w:pPr>
              <w:rPr>
                <w:rFonts w:ascii="Cambria" w:hAnsi="Cambria"/>
                <w:sz w:val="20"/>
                <w:szCs w:val="20"/>
                <w:lang w:val="en-GB"/>
              </w:rPr>
            </w:pPr>
            <w:r w:rsidRPr="009018D1">
              <w:rPr>
                <w:rFonts w:ascii="Cambria" w:hAnsi="Cambria"/>
                <w:sz w:val="20"/>
                <w:szCs w:val="20"/>
                <w:lang w:val="en-GB"/>
              </w:rPr>
              <w:t>Total:</w:t>
            </w:r>
          </w:p>
        </w:tc>
        <w:tc>
          <w:tcPr>
            <w:tcW w:w="709" w:type="dxa"/>
            <w:shd w:val="clear" w:color="auto" w:fill="D6E3BC"/>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3</w:t>
            </w:r>
          </w:p>
        </w:tc>
        <w:tc>
          <w:tcPr>
            <w:tcW w:w="992" w:type="dxa"/>
          </w:tcPr>
          <w:p w:rsidR="002E4CC2" w:rsidRPr="009018D1" w:rsidRDefault="002E4CC2" w:rsidP="00D34679">
            <w:pPr>
              <w:jc w:val="center"/>
              <w:rPr>
                <w:rFonts w:ascii="Cambria" w:hAnsi="Cambria"/>
                <w:sz w:val="20"/>
                <w:szCs w:val="20"/>
                <w:lang w:val="en-GB"/>
              </w:rPr>
            </w:pPr>
          </w:p>
        </w:tc>
        <w:tc>
          <w:tcPr>
            <w:tcW w:w="1757" w:type="dxa"/>
          </w:tcPr>
          <w:p w:rsidR="002E4CC2" w:rsidRPr="009018D1" w:rsidRDefault="002E4CC2" w:rsidP="00D34679">
            <w:pPr>
              <w:rPr>
                <w:rFonts w:ascii="Cambria" w:hAnsi="Cambria"/>
                <w:sz w:val="20"/>
                <w:szCs w:val="20"/>
                <w:lang w:val="en-GB"/>
              </w:rPr>
            </w:pPr>
          </w:p>
        </w:tc>
        <w:tc>
          <w:tcPr>
            <w:tcW w:w="1482" w:type="dxa"/>
          </w:tcPr>
          <w:p w:rsidR="002E4CC2" w:rsidRPr="009018D1" w:rsidRDefault="002E4CC2" w:rsidP="00D34679">
            <w:pPr>
              <w:rPr>
                <w:rFonts w:ascii="Cambria" w:hAnsi="Cambria"/>
                <w:sz w:val="20"/>
                <w:szCs w:val="20"/>
                <w:lang w:val="en-GB"/>
              </w:rPr>
            </w:pPr>
          </w:p>
        </w:tc>
        <w:tc>
          <w:tcPr>
            <w:tcW w:w="663" w:type="dxa"/>
            <w:shd w:val="clear" w:color="auto" w:fill="D6E3BC"/>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55</w:t>
            </w:r>
          </w:p>
        </w:tc>
        <w:tc>
          <w:tcPr>
            <w:tcW w:w="551" w:type="dxa"/>
            <w:shd w:val="clear" w:color="auto" w:fill="D6E3BC"/>
          </w:tcPr>
          <w:p w:rsidR="002E4CC2" w:rsidRPr="009018D1" w:rsidRDefault="002E4CC2" w:rsidP="00D34679">
            <w:pPr>
              <w:jc w:val="center"/>
              <w:rPr>
                <w:rFonts w:ascii="Cambria" w:hAnsi="Cambria"/>
                <w:sz w:val="20"/>
                <w:szCs w:val="20"/>
                <w:lang w:val="en-GB"/>
              </w:rPr>
            </w:pPr>
            <w:r w:rsidRPr="009018D1">
              <w:rPr>
                <w:rFonts w:ascii="Cambria" w:hAnsi="Cambria"/>
                <w:sz w:val="20"/>
                <w:szCs w:val="20"/>
                <w:lang w:val="en-GB"/>
              </w:rPr>
              <w:t>100</w:t>
            </w:r>
          </w:p>
        </w:tc>
      </w:tr>
      <w:tr w:rsidR="002E4CC2" w:rsidRPr="009018D1" w:rsidTr="00D34679">
        <w:trPr>
          <w:cantSplit/>
          <w:trHeight w:val="190"/>
        </w:trPr>
        <w:tc>
          <w:tcPr>
            <w:tcW w:w="1838" w:type="dxa"/>
            <w:shd w:val="clear" w:color="auto" w:fill="D9D9D9"/>
          </w:tcPr>
          <w:p w:rsidR="002E4CC2" w:rsidRPr="009F67D9" w:rsidRDefault="002E4CC2" w:rsidP="00D34679">
            <w:pPr>
              <w:rPr>
                <w:rFonts w:ascii="Cambria" w:hAnsi="Cambria"/>
                <w:b/>
                <w:sz w:val="20"/>
                <w:szCs w:val="20"/>
                <w:lang w:val="en-GB"/>
              </w:rPr>
            </w:pPr>
            <w:proofErr w:type="spellStart"/>
            <w:r w:rsidRPr="009F67D9">
              <w:rPr>
                <w:rStyle w:val="Naglaeno"/>
                <w:rFonts w:ascii="Cambria" w:hAnsi="Cambria" w:cs="Calibri"/>
                <w:sz w:val="20"/>
                <w:szCs w:val="20"/>
              </w:rPr>
              <w:t>Class</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hours</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per</w:t>
            </w:r>
            <w:proofErr w:type="spellEnd"/>
            <w:r w:rsidRPr="009F67D9">
              <w:rPr>
                <w:rStyle w:val="Naglaeno"/>
                <w:rFonts w:ascii="Cambria" w:hAnsi="Cambria" w:cs="Calibri"/>
                <w:sz w:val="20"/>
                <w:szCs w:val="20"/>
              </w:rPr>
              <w:t xml:space="preserve"> </w:t>
            </w:r>
            <w:proofErr w:type="spellStart"/>
            <w:r w:rsidRPr="009F67D9">
              <w:rPr>
                <w:rStyle w:val="Naglaeno"/>
                <w:rFonts w:ascii="Cambria" w:hAnsi="Cambria" w:cs="Calibri"/>
                <w:sz w:val="20"/>
                <w:szCs w:val="20"/>
              </w:rPr>
              <w:t>week</w:t>
            </w:r>
            <w:proofErr w:type="spellEnd"/>
          </w:p>
        </w:tc>
        <w:tc>
          <w:tcPr>
            <w:tcW w:w="7855" w:type="dxa"/>
            <w:gridSpan w:val="7"/>
            <w:shd w:val="clear" w:color="auto" w:fill="auto"/>
            <w:vAlign w:val="center"/>
          </w:tcPr>
          <w:p w:rsidR="002E4CC2" w:rsidRPr="009018D1" w:rsidRDefault="002E4CC2" w:rsidP="00D34679">
            <w:pPr>
              <w:rPr>
                <w:rFonts w:ascii="Cambria" w:hAnsi="Cambria"/>
                <w:sz w:val="20"/>
                <w:szCs w:val="20"/>
                <w:lang w:val="en-GB"/>
              </w:rPr>
            </w:pPr>
            <w:r>
              <w:rPr>
                <w:rFonts w:ascii="Cambria" w:hAnsi="Cambria"/>
                <w:sz w:val="20"/>
                <w:szCs w:val="20"/>
                <w:lang w:val="en-GB"/>
              </w:rPr>
              <w:t>2</w:t>
            </w:r>
            <w:r>
              <w:rPr>
                <w:rFonts w:ascii="Cambria" w:hAnsi="Cambria"/>
                <w:sz w:val="20"/>
                <w:szCs w:val="20"/>
                <w:lang w:val="en-GB"/>
              </w:rPr>
              <w:t>/WS</w:t>
            </w:r>
            <w:bookmarkStart w:id="0" w:name="_GoBack"/>
            <w:bookmarkEnd w:id="0"/>
          </w:p>
        </w:tc>
      </w:tr>
      <w:tr w:rsidR="002E4CC2" w:rsidRPr="009018D1" w:rsidTr="00D34679">
        <w:trPr>
          <w:cantSplit/>
          <w:trHeight w:val="190"/>
        </w:trPr>
        <w:tc>
          <w:tcPr>
            <w:tcW w:w="1838" w:type="dxa"/>
            <w:shd w:val="clear" w:color="auto" w:fill="D9D9D9"/>
          </w:tcPr>
          <w:p w:rsidR="002E4CC2" w:rsidRPr="009018D1" w:rsidRDefault="002E4CC2" w:rsidP="00D34679">
            <w:pPr>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shd w:val="clear" w:color="auto" w:fill="auto"/>
            <w:vAlign w:val="center"/>
          </w:tcPr>
          <w:p w:rsidR="002E4CC2" w:rsidRPr="009018D1" w:rsidRDefault="002E4CC2" w:rsidP="00D34679">
            <w:pPr>
              <w:jc w:val="center"/>
              <w:rPr>
                <w:rFonts w:ascii="Cambria" w:hAnsi="Cambria"/>
                <w:sz w:val="20"/>
                <w:szCs w:val="20"/>
                <w:lang w:val="en-GB"/>
              </w:rPr>
            </w:pPr>
            <w:r>
              <w:rPr>
                <w:rFonts w:ascii="Cambria" w:hAnsi="Cambria"/>
                <w:sz w:val="20"/>
                <w:szCs w:val="20"/>
                <w:lang w:val="en-GB"/>
              </w:rPr>
              <w:t>German</w:t>
            </w:r>
          </w:p>
        </w:tc>
      </w:tr>
      <w:tr w:rsidR="002E4CC2" w:rsidRPr="009018D1" w:rsidTr="00D34679">
        <w:trPr>
          <w:cantSplit/>
          <w:trHeight w:val="190"/>
        </w:trPr>
        <w:tc>
          <w:tcPr>
            <w:tcW w:w="1838" w:type="dxa"/>
            <w:shd w:val="clear" w:color="auto" w:fill="D9D9D9"/>
          </w:tcPr>
          <w:p w:rsidR="002E4CC2" w:rsidRPr="009018D1" w:rsidRDefault="002E4CC2" w:rsidP="00D34679">
            <w:pPr>
              <w:rPr>
                <w:rFonts w:ascii="Cambria" w:hAnsi="Cambria"/>
                <w:b/>
                <w:sz w:val="20"/>
                <w:szCs w:val="20"/>
                <w:lang w:val="en-GB"/>
              </w:rPr>
            </w:pPr>
            <w:r>
              <w:rPr>
                <w:rFonts w:ascii="Cambria" w:hAnsi="Cambria"/>
                <w:b/>
                <w:sz w:val="20"/>
                <w:szCs w:val="20"/>
                <w:lang w:val="en-GB"/>
              </w:rPr>
              <w:t>Language of consultation</w:t>
            </w:r>
          </w:p>
        </w:tc>
        <w:tc>
          <w:tcPr>
            <w:tcW w:w="7855" w:type="dxa"/>
            <w:gridSpan w:val="7"/>
            <w:shd w:val="clear" w:color="auto" w:fill="auto"/>
            <w:vAlign w:val="center"/>
          </w:tcPr>
          <w:p w:rsidR="002E4CC2" w:rsidRPr="009018D1" w:rsidRDefault="002E4CC2" w:rsidP="00D34679">
            <w:pPr>
              <w:jc w:val="center"/>
              <w:rPr>
                <w:rFonts w:ascii="Cambria" w:hAnsi="Cambria"/>
                <w:sz w:val="20"/>
                <w:szCs w:val="20"/>
                <w:lang w:val="en-GB"/>
              </w:rPr>
            </w:pPr>
            <w:r>
              <w:rPr>
                <w:rFonts w:ascii="Cambria" w:hAnsi="Cambria"/>
                <w:sz w:val="20"/>
                <w:szCs w:val="20"/>
                <w:lang w:val="en-GB"/>
              </w:rPr>
              <w:t>German</w:t>
            </w:r>
          </w:p>
        </w:tc>
      </w:tr>
    </w:tbl>
    <w:p w:rsidR="007454C4" w:rsidRPr="002E4CC2" w:rsidRDefault="007454C4" w:rsidP="002E4CC2"/>
    <w:sectPr w:rsidR="007454C4" w:rsidRPr="002E4CC2"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4B"/>
    <w:rsid w:val="002E4CC2"/>
    <w:rsid w:val="0065254B"/>
    <w:rsid w:val="007454C4"/>
    <w:rsid w:val="0098404A"/>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34889-718A-4FDC-B678-23C1A3F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C2"/>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2E4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KBF Đakovo</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2017-06-01T10:37:00Z</dcterms:created>
  <dcterms:modified xsi:type="dcterms:W3CDTF">2017-06-01T10:39:00Z</dcterms:modified>
</cp:coreProperties>
</file>