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254782" w:rsidTr="00254782">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b/>
                <w:caps/>
                <w:sz w:val="20"/>
                <w:szCs w:val="20"/>
                <w:lang w:val="en-GB"/>
              </w:rPr>
            </w:pPr>
            <w:r>
              <w:rPr>
                <w:rFonts w:ascii="Cambria" w:hAnsi="Cambria"/>
                <w:b/>
                <w:caps/>
                <w:sz w:val="20"/>
                <w:szCs w:val="20"/>
                <w:lang w:val="en-GB"/>
              </w:rPr>
              <w:t>The Social Doctrine of the Church II</w:t>
            </w:r>
          </w:p>
        </w:tc>
      </w:tr>
      <w:tr w:rsidR="00254782" w:rsidTr="00254782">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0C00B0">
            <w:pPr>
              <w:spacing w:line="256" w:lineRule="auto"/>
              <w:rPr>
                <w:rFonts w:ascii="Cambria" w:hAnsi="Cambria"/>
                <w:sz w:val="20"/>
                <w:szCs w:val="20"/>
                <w:lang w:val="en-GB"/>
              </w:rPr>
            </w:pPr>
            <w:r>
              <w:rPr>
                <w:rFonts w:ascii="Cambria" w:hAnsi="Cambria"/>
                <w:sz w:val="20"/>
                <w:szCs w:val="20"/>
                <w:lang w:val="en-GB"/>
              </w:rPr>
              <w:t>Mr.sc. Igor Jakobfi</w:t>
            </w:r>
            <w:bookmarkStart w:id="0" w:name="_GoBack"/>
            <w:bookmarkEnd w:id="0"/>
          </w:p>
        </w:tc>
      </w:tr>
      <w:tr w:rsidR="00254782" w:rsidTr="00254782">
        <w:trPr>
          <w:cantSplit/>
          <w:trHeight w:val="2655"/>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254782" w:rsidRDefault="00254782">
            <w:pPr>
              <w:spacing w:line="256" w:lineRule="auto"/>
              <w:rPr>
                <w:rFonts w:ascii="Cambria" w:hAnsi="Cambria"/>
                <w:sz w:val="20"/>
                <w:szCs w:val="20"/>
                <w:lang w:val="en-GB"/>
              </w:rPr>
            </w:pPr>
            <w:r>
              <w:rPr>
                <w:rFonts w:ascii="Cambria" w:hAnsi="Cambria"/>
                <w:sz w:val="20"/>
                <w:szCs w:val="20"/>
                <w:lang w:val="en-GB"/>
              </w:rPr>
              <w:t>1. Use the knowledge of the development of the social doctrine of the Church, which is developing, on the one hand in fidelity to the truth, and on the other hand, in fidelity to history and openness to concrete life.</w:t>
            </w:r>
          </w:p>
          <w:p w:rsidR="00254782" w:rsidRDefault="00254782">
            <w:pPr>
              <w:spacing w:line="256" w:lineRule="auto"/>
              <w:rPr>
                <w:rFonts w:ascii="Cambria" w:hAnsi="Cambria"/>
                <w:sz w:val="20"/>
                <w:szCs w:val="20"/>
                <w:lang w:val="en-GB"/>
              </w:rPr>
            </w:pPr>
            <w:r>
              <w:rPr>
                <w:rFonts w:ascii="Cambria" w:hAnsi="Cambria"/>
                <w:sz w:val="20"/>
                <w:szCs w:val="20"/>
                <w:lang w:val="en-GB"/>
              </w:rPr>
              <w:t>2. Recognize the importance of the Church’s and Christians’ interceding for social problems.</w:t>
            </w:r>
          </w:p>
          <w:p w:rsidR="00254782" w:rsidRDefault="00254782">
            <w:pPr>
              <w:spacing w:line="256" w:lineRule="auto"/>
              <w:rPr>
                <w:rFonts w:ascii="Cambria" w:hAnsi="Cambria"/>
                <w:sz w:val="20"/>
                <w:szCs w:val="20"/>
                <w:lang w:val="en-GB"/>
              </w:rPr>
            </w:pPr>
            <w:r>
              <w:rPr>
                <w:rFonts w:ascii="Cambria" w:hAnsi="Cambria"/>
                <w:sz w:val="20"/>
                <w:szCs w:val="20"/>
                <w:lang w:val="en-GB"/>
              </w:rPr>
              <w:t>3. Recognize and denounce social evils in a concrete social environment.</w:t>
            </w:r>
          </w:p>
          <w:p w:rsidR="00254782" w:rsidRDefault="00254782">
            <w:pPr>
              <w:spacing w:line="256" w:lineRule="auto"/>
              <w:rPr>
                <w:rFonts w:ascii="Cambria" w:hAnsi="Cambria"/>
                <w:sz w:val="20"/>
                <w:szCs w:val="20"/>
                <w:lang w:val="en-GB"/>
              </w:rPr>
            </w:pPr>
            <w:r>
              <w:rPr>
                <w:rFonts w:ascii="Cambria" w:hAnsi="Cambria"/>
                <w:sz w:val="20"/>
                <w:szCs w:val="20"/>
                <w:lang w:val="en-GB"/>
              </w:rPr>
              <w:t>4. Intercede for victims of unjust social relations, for the disenfranchised and the poor through social engagement in the spirit of the social doctrine of the Church.</w:t>
            </w:r>
          </w:p>
          <w:p w:rsidR="00254782" w:rsidRDefault="00254782">
            <w:pPr>
              <w:spacing w:line="256" w:lineRule="auto"/>
              <w:rPr>
                <w:rFonts w:ascii="Cambria" w:hAnsi="Cambria"/>
                <w:sz w:val="20"/>
                <w:szCs w:val="20"/>
                <w:lang w:val="en-GB"/>
              </w:rPr>
            </w:pPr>
            <w:r>
              <w:rPr>
                <w:rFonts w:ascii="Cambria" w:hAnsi="Cambria"/>
                <w:sz w:val="20"/>
                <w:szCs w:val="20"/>
                <w:lang w:val="en-GB"/>
              </w:rPr>
              <w:t>5. Work on carrying out the social message of the Church in pastoral practice through educational work and through concrete help actions.</w:t>
            </w:r>
          </w:p>
        </w:tc>
      </w:tr>
      <w:tr w:rsidR="00254782" w:rsidTr="00254782">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Points</w:t>
            </w:r>
          </w:p>
        </w:tc>
      </w:tr>
      <w:tr w:rsidR="00254782" w:rsidTr="00254782">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Presence at classes and active participation</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Records and evaluation</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20</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work</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Personal work with consultations</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25</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Continuous assessment – midterm exam</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Preparation for the written exam and consultations</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25</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1-5</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Revision and preparation for the exam</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30</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3</w:t>
            </w:r>
          </w:p>
        </w:tc>
        <w:tc>
          <w:tcPr>
            <w:tcW w:w="993"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60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100</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2" w:lineRule="auto"/>
              <w:rPr>
                <w:rFonts w:ascii="Cambria" w:hAnsi="Cambria"/>
                <w:sz w:val="20"/>
                <w:szCs w:val="20"/>
                <w:lang w:val="en-GB"/>
              </w:rPr>
            </w:pPr>
            <w:r>
              <w:rPr>
                <w:rFonts w:ascii="Cambria" w:hAnsi="Cambria"/>
                <w:sz w:val="20"/>
                <w:szCs w:val="20"/>
                <w:lang w:val="en-GB"/>
              </w:rPr>
              <w:t>2/SS</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Italian, English</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96"/>
    <w:rsid w:val="000C00B0"/>
    <w:rsid w:val="00254782"/>
    <w:rsid w:val="007454C4"/>
    <w:rsid w:val="00916D96"/>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82"/>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2547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82"/>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254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1319</Characters>
  <Application>Microsoft Office Word</Application>
  <DocSecurity>0</DocSecurity>
  <Lines>10</Lines>
  <Paragraphs>3</Paragraphs>
  <ScaleCrop>false</ScaleCrop>
  <Company>KBF Đakovo</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Korisnik</cp:lastModifiedBy>
  <cp:revision>4</cp:revision>
  <dcterms:created xsi:type="dcterms:W3CDTF">2017-06-01T13:18:00Z</dcterms:created>
  <dcterms:modified xsi:type="dcterms:W3CDTF">2018-11-29T09:08:00Z</dcterms:modified>
</cp:coreProperties>
</file>