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  <w:t xml:space="preserve">ERASMUS PROGRAMME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  <w:t xml:space="preserve">Incoming student mobility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Name of University Unit: Faculty of Law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COURSES OFFERED IN FOREIGN LANGUAGE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 ERASMUS INCOMING STUDENTS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988"/>
        <w:gridCol w:w="5868"/>
      </w:tblGrid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Department or Chair within the Faculty</w:t>
            </w:r>
          </w:p>
        </w:tc>
        <w:tc>
          <w:tcPr>
            <w:tcW w:w="5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Foreign Languages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2988"/>
        <w:gridCol w:w="5868"/>
      </w:tblGrid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Study program </w:t>
            </w:r>
          </w:p>
        </w:tc>
        <w:tc>
          <w:tcPr>
            <w:tcW w:w="5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Integrated Undergraduate and Graduate Study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2988"/>
        <w:gridCol w:w="5868"/>
      </w:tblGrid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Study level</w:t>
            </w:r>
          </w:p>
        </w:tc>
        <w:tc>
          <w:tcPr>
            <w:tcW w:w="5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Undergraduate – 1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st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year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2988"/>
        <w:gridCol w:w="6051"/>
      </w:tblGrid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Course title</w:t>
            </w:r>
          </w:p>
        </w:tc>
        <w:tc>
          <w:tcPr>
            <w:tcW w:w="6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English for Lawyers 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Course code</w:t>
            </w:r>
          </w:p>
        </w:tc>
        <w:tc>
          <w:tcPr>
            <w:tcW w:w="6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LAW02-012</w:t>
            </w: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Language of instruction</w:t>
            </w:r>
          </w:p>
        </w:tc>
        <w:tc>
          <w:tcPr>
            <w:tcW w:w="6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English</w:t>
            </w: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Course description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Specific terminology relating to Common Law and Common-Law-based legal systems as opposed to Roman-Law-based legal systems in Civil Law countries. Characteristics of British and American court systems and their comparison with Croatian courts.</w:t>
            </w: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Form of teaching</w:t>
            </w:r>
          </w:p>
        </w:tc>
        <w:tc>
          <w:tcPr>
            <w:tcW w:w="6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Lectures, Exercises, Seminars</w:t>
            </w: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Form of assessment</w:t>
            </w:r>
          </w:p>
        </w:tc>
        <w:tc>
          <w:tcPr>
            <w:tcW w:w="6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Written and oral examination</w:t>
            </w: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Number of ECTS</w:t>
            </w:r>
          </w:p>
        </w:tc>
        <w:tc>
          <w:tcPr>
            <w:tcW w:w="6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Class hours per week</w:t>
            </w:r>
          </w:p>
        </w:tc>
        <w:tc>
          <w:tcPr>
            <w:tcW w:w="6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(2 – lectures + 2 – exercises)</w:t>
            </w: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Minimum number of students</w:t>
            </w:r>
          </w:p>
        </w:tc>
        <w:tc>
          <w:tcPr>
            <w:tcW w:w="6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Period of realization </w:t>
            </w:r>
          </w:p>
        </w:tc>
        <w:tc>
          <w:tcPr>
            <w:tcW w:w="6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Summer semester</w:t>
            </w: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Lecturer</w:t>
            </w:r>
          </w:p>
        </w:tc>
        <w:tc>
          <w:tcPr>
            <w:tcW w:w="6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Željko Rišner, Senior Lecturer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