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C4" w:rsidRDefault="00F101C4" w:rsidP="00F101C4">
      <w:pPr>
        <w:pStyle w:val="StandardWeb"/>
        <w:spacing w:before="0" w:beforeAutospacing="0" w:after="0" w:afterAutospacing="0"/>
        <w:jc w:val="center"/>
        <w:rPr>
          <w:rStyle w:val="Naglaeno"/>
          <w:rFonts w:eastAsia="Calibri"/>
          <w:sz w:val="28"/>
          <w:szCs w:val="28"/>
        </w:rPr>
      </w:pPr>
    </w:p>
    <w:p w:rsidR="00F101C4" w:rsidRDefault="00F101C4" w:rsidP="00F101C4">
      <w:pPr>
        <w:pStyle w:val="StandardWeb"/>
        <w:spacing w:before="0" w:beforeAutospacing="0" w:after="0" w:afterAutospacing="0"/>
        <w:jc w:val="center"/>
        <w:rPr>
          <w:rStyle w:val="Naglaeno"/>
          <w:rFonts w:eastAsia="Calibri"/>
          <w:sz w:val="28"/>
          <w:szCs w:val="28"/>
        </w:rPr>
      </w:pPr>
      <w:bookmarkStart w:id="0" w:name="_GoBack"/>
      <w:bookmarkEnd w:id="0"/>
      <w:r>
        <w:rPr>
          <w:rStyle w:val="Naglaeno"/>
          <w:rFonts w:eastAsia="Calibri"/>
          <w:sz w:val="28"/>
          <w:szCs w:val="28"/>
        </w:rPr>
        <w:t xml:space="preserve">UNIOS University </w:t>
      </w:r>
      <w:proofErr w:type="spellStart"/>
      <w:r>
        <w:rPr>
          <w:rStyle w:val="Naglaeno"/>
          <w:rFonts w:eastAsia="Calibri"/>
          <w:sz w:val="28"/>
          <w:szCs w:val="28"/>
        </w:rPr>
        <w:t>Unit</w:t>
      </w:r>
      <w:proofErr w:type="spellEnd"/>
      <w:r>
        <w:rPr>
          <w:rStyle w:val="Naglaeno"/>
          <w:rFonts w:eastAsia="Calibri"/>
          <w:sz w:val="28"/>
          <w:szCs w:val="28"/>
        </w:rPr>
        <w:t xml:space="preserve">: </w:t>
      </w:r>
      <w:proofErr w:type="spellStart"/>
      <w:r>
        <w:rPr>
          <w:rStyle w:val="Naglaeno"/>
          <w:rFonts w:eastAsia="Calibri"/>
          <w:sz w:val="28"/>
          <w:szCs w:val="28"/>
        </w:rPr>
        <w:t>Catholic</w:t>
      </w:r>
      <w:proofErr w:type="spellEnd"/>
      <w:r>
        <w:rPr>
          <w:rStyle w:val="Naglaeno"/>
          <w:rFonts w:eastAsia="Calibri"/>
          <w:sz w:val="28"/>
          <w:szCs w:val="28"/>
        </w:rPr>
        <w:t xml:space="preserve"> </w:t>
      </w:r>
      <w:proofErr w:type="spellStart"/>
      <w:r>
        <w:rPr>
          <w:rStyle w:val="Naglaeno"/>
          <w:rFonts w:eastAsia="Calibri"/>
          <w:sz w:val="28"/>
          <w:szCs w:val="28"/>
        </w:rPr>
        <w:t>Faculty</w:t>
      </w:r>
      <w:proofErr w:type="spellEnd"/>
      <w:r>
        <w:rPr>
          <w:rStyle w:val="Naglaeno"/>
          <w:rFonts w:eastAsia="Calibri"/>
          <w:sz w:val="28"/>
          <w:szCs w:val="28"/>
        </w:rPr>
        <w:t xml:space="preserve"> </w:t>
      </w:r>
      <w:proofErr w:type="spellStart"/>
      <w:r>
        <w:rPr>
          <w:rStyle w:val="Naglaeno"/>
          <w:rFonts w:eastAsia="Calibri"/>
          <w:sz w:val="28"/>
          <w:szCs w:val="28"/>
        </w:rPr>
        <w:t>of</w:t>
      </w:r>
      <w:proofErr w:type="spellEnd"/>
      <w:r>
        <w:rPr>
          <w:rStyle w:val="Naglaeno"/>
          <w:rFonts w:eastAsia="Calibri"/>
          <w:sz w:val="28"/>
          <w:szCs w:val="28"/>
        </w:rPr>
        <w:t xml:space="preserve"> </w:t>
      </w:r>
      <w:proofErr w:type="spellStart"/>
      <w:r>
        <w:rPr>
          <w:rStyle w:val="Naglaeno"/>
          <w:rFonts w:eastAsia="Calibri"/>
          <w:sz w:val="28"/>
          <w:szCs w:val="28"/>
        </w:rPr>
        <w:t>Theology</w:t>
      </w:r>
      <w:proofErr w:type="spellEnd"/>
      <w:r>
        <w:rPr>
          <w:rStyle w:val="Naglaeno"/>
          <w:rFonts w:eastAsia="Calibri"/>
          <w:sz w:val="28"/>
          <w:szCs w:val="28"/>
        </w:rPr>
        <w:t xml:space="preserve"> </w:t>
      </w:r>
      <w:proofErr w:type="spellStart"/>
      <w:r>
        <w:rPr>
          <w:rStyle w:val="Naglaeno"/>
          <w:rFonts w:eastAsia="Calibri"/>
          <w:sz w:val="28"/>
          <w:szCs w:val="28"/>
        </w:rPr>
        <w:t>in</w:t>
      </w:r>
      <w:proofErr w:type="spellEnd"/>
      <w:r>
        <w:rPr>
          <w:rStyle w:val="Naglaeno"/>
          <w:rFonts w:eastAsia="Calibri"/>
          <w:sz w:val="28"/>
          <w:szCs w:val="28"/>
        </w:rPr>
        <w:t xml:space="preserve"> Đakovo</w:t>
      </w:r>
    </w:p>
    <w:p w:rsidR="00F101C4" w:rsidRDefault="00F101C4" w:rsidP="00F101C4">
      <w:pPr>
        <w:pStyle w:val="StandardWeb"/>
        <w:spacing w:before="0" w:beforeAutospacing="0" w:after="0" w:afterAutospacing="0"/>
        <w:jc w:val="center"/>
        <w:rPr>
          <w:rStyle w:val="Naglaeno"/>
          <w:rFonts w:eastAsia="Calibri"/>
          <w:sz w:val="28"/>
          <w:szCs w:val="28"/>
        </w:rPr>
      </w:pPr>
    </w:p>
    <w:p w:rsidR="00F101C4" w:rsidRDefault="00F101C4" w:rsidP="00F101C4">
      <w:pPr>
        <w:pStyle w:val="StandardWeb"/>
        <w:spacing w:before="0" w:beforeAutospacing="0" w:after="0" w:afterAutospacing="0"/>
        <w:jc w:val="center"/>
        <w:rPr>
          <w:rStyle w:val="Naglaeno"/>
          <w:rFonts w:eastAsia="Calibri"/>
          <w:sz w:val="28"/>
          <w:szCs w:val="28"/>
        </w:rPr>
      </w:pPr>
      <w:r>
        <w:rPr>
          <w:rStyle w:val="Naglaeno"/>
          <w:rFonts w:eastAsia="Calibri"/>
          <w:sz w:val="28"/>
          <w:szCs w:val="28"/>
        </w:rPr>
        <w:t xml:space="preserve">COURSES OFFERED IN FOREIGN LANGUAGE </w:t>
      </w:r>
    </w:p>
    <w:p w:rsidR="00F101C4" w:rsidRDefault="00F101C4" w:rsidP="00F101C4">
      <w:pPr>
        <w:pStyle w:val="StandardWeb"/>
        <w:spacing w:before="0" w:beforeAutospacing="0" w:after="0" w:afterAutospacing="0"/>
        <w:jc w:val="center"/>
        <w:rPr>
          <w:rStyle w:val="Naglaeno"/>
          <w:rFonts w:eastAsia="Calibri"/>
          <w:sz w:val="28"/>
          <w:szCs w:val="28"/>
        </w:rPr>
      </w:pPr>
      <w:r>
        <w:rPr>
          <w:rStyle w:val="Naglaeno"/>
          <w:rFonts w:eastAsia="Calibri"/>
          <w:sz w:val="28"/>
          <w:szCs w:val="28"/>
        </w:rPr>
        <w:t xml:space="preserve">FOR ERASMUS+ INDIVIDUAL INCOMING STUDENTS </w:t>
      </w:r>
    </w:p>
    <w:p w:rsidR="00F101C4" w:rsidRDefault="00F101C4" w:rsidP="00F101C4"/>
    <w:p w:rsidR="007454C4" w:rsidRDefault="007454C4"/>
    <w:p w:rsidR="00D41A05" w:rsidRDefault="00D41A05"/>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1637"/>
        <w:gridCol w:w="666"/>
        <w:gridCol w:w="1166"/>
        <w:gridCol w:w="1416"/>
        <w:gridCol w:w="1316"/>
        <w:gridCol w:w="563"/>
        <w:gridCol w:w="566"/>
      </w:tblGrid>
      <w:tr w:rsidR="00D41A05" w:rsidTr="00D41A05">
        <w:trPr>
          <w:cantSplit/>
          <w:trHeight w:val="316"/>
        </w:trPr>
        <w:tc>
          <w:tcPr>
            <w:tcW w:w="1686" w:type="dxa"/>
            <w:tcBorders>
              <w:top w:val="single" w:sz="4" w:space="0" w:color="000000"/>
              <w:left w:val="single" w:sz="4" w:space="0" w:color="000000"/>
              <w:bottom w:val="single" w:sz="4" w:space="0" w:color="000000"/>
              <w:right w:val="single" w:sz="4" w:space="0" w:color="000000"/>
            </w:tcBorders>
            <w:shd w:val="clear" w:color="auto" w:fill="D9D9D9"/>
          </w:tcPr>
          <w:p w:rsidR="00D41A05" w:rsidRDefault="00D41A05" w:rsidP="001A357B">
            <w:pPr>
              <w:rPr>
                <w:rFonts w:ascii="Cambria" w:hAnsi="Cambria"/>
                <w:b/>
                <w:sz w:val="20"/>
                <w:szCs w:val="20"/>
                <w:lang w:val="en-GB"/>
              </w:rPr>
            </w:pPr>
            <w:r>
              <w:rPr>
                <w:rFonts w:ascii="Cambria" w:hAnsi="Cambria"/>
                <w:b/>
                <w:sz w:val="20"/>
                <w:szCs w:val="20"/>
                <w:lang w:val="en-GB"/>
              </w:rPr>
              <w:t>Study program</w:t>
            </w:r>
          </w:p>
        </w:tc>
        <w:tc>
          <w:tcPr>
            <w:tcW w:w="7330" w:type="dxa"/>
            <w:gridSpan w:val="7"/>
            <w:tcBorders>
              <w:top w:val="single" w:sz="4" w:space="0" w:color="000000"/>
              <w:left w:val="single" w:sz="4" w:space="0" w:color="000000"/>
              <w:bottom w:val="single" w:sz="4" w:space="0" w:color="000000"/>
              <w:right w:val="single" w:sz="4" w:space="0" w:color="000000"/>
            </w:tcBorders>
          </w:tcPr>
          <w:p w:rsidR="00D41A05" w:rsidRDefault="00D41A05" w:rsidP="001A357B">
            <w:pPr>
              <w:jc w:val="center"/>
              <w:rPr>
                <w:rFonts w:ascii="Cambria" w:hAnsi="Cambria"/>
                <w:b/>
                <w:caps/>
                <w:sz w:val="20"/>
                <w:szCs w:val="20"/>
                <w:lang w:val="en-GB"/>
              </w:rPr>
            </w:pPr>
            <w:r>
              <w:rPr>
                <w:rFonts w:ascii="Cambria" w:hAnsi="Cambria"/>
                <w:b/>
                <w:caps/>
                <w:sz w:val="20"/>
                <w:szCs w:val="20"/>
                <w:lang w:val="en-GB"/>
              </w:rPr>
              <w:t>Study of Philosophy and Theology</w:t>
            </w:r>
          </w:p>
        </w:tc>
      </w:tr>
      <w:tr w:rsidR="00D41A05" w:rsidTr="00D41A05">
        <w:trPr>
          <w:cantSplit/>
          <w:trHeight w:val="316"/>
        </w:trPr>
        <w:tc>
          <w:tcPr>
            <w:tcW w:w="1686" w:type="dxa"/>
            <w:tcBorders>
              <w:top w:val="single" w:sz="4" w:space="0" w:color="000000"/>
              <w:left w:val="single" w:sz="4" w:space="0" w:color="000000"/>
              <w:bottom w:val="single" w:sz="4" w:space="0" w:color="000000"/>
              <w:right w:val="single" w:sz="4" w:space="0" w:color="000000"/>
            </w:tcBorders>
            <w:shd w:val="clear" w:color="auto" w:fill="D9D9D9"/>
          </w:tcPr>
          <w:p w:rsidR="00D41A05" w:rsidRDefault="00D41A05" w:rsidP="001A357B">
            <w:pPr>
              <w:rPr>
                <w:rFonts w:ascii="Cambria" w:hAnsi="Cambria"/>
                <w:b/>
                <w:sz w:val="20"/>
                <w:szCs w:val="20"/>
                <w:lang w:val="en-GB"/>
              </w:rPr>
            </w:pPr>
            <w:r>
              <w:rPr>
                <w:rFonts w:ascii="Cambria" w:hAnsi="Cambria"/>
                <w:b/>
                <w:sz w:val="20"/>
                <w:szCs w:val="20"/>
                <w:lang w:val="en-GB"/>
              </w:rPr>
              <w:t>Study level</w:t>
            </w:r>
          </w:p>
        </w:tc>
        <w:tc>
          <w:tcPr>
            <w:tcW w:w="7330" w:type="dxa"/>
            <w:gridSpan w:val="7"/>
            <w:tcBorders>
              <w:top w:val="single" w:sz="4" w:space="0" w:color="000000"/>
              <w:left w:val="single" w:sz="4" w:space="0" w:color="000000"/>
              <w:bottom w:val="single" w:sz="4" w:space="0" w:color="000000"/>
              <w:right w:val="single" w:sz="4" w:space="0" w:color="000000"/>
            </w:tcBorders>
          </w:tcPr>
          <w:p w:rsidR="00D41A05" w:rsidRDefault="00D41A05" w:rsidP="001A357B">
            <w:pPr>
              <w:jc w:val="center"/>
              <w:rPr>
                <w:rFonts w:ascii="Cambria" w:hAnsi="Cambria"/>
                <w:b/>
                <w:caps/>
                <w:sz w:val="20"/>
                <w:szCs w:val="20"/>
                <w:lang w:val="en-GB"/>
              </w:rPr>
            </w:pPr>
            <w:r>
              <w:rPr>
                <w:rFonts w:ascii="Cambria" w:hAnsi="Cambria"/>
                <w:b/>
                <w:caps/>
                <w:sz w:val="20"/>
                <w:szCs w:val="20"/>
                <w:lang w:val="en-GB"/>
              </w:rPr>
              <w:t>MA</w:t>
            </w:r>
          </w:p>
        </w:tc>
      </w:tr>
      <w:tr w:rsidR="00D41A05" w:rsidRPr="009018D1" w:rsidTr="00D41A05">
        <w:trPr>
          <w:cantSplit/>
          <w:trHeight w:val="316"/>
        </w:trPr>
        <w:tc>
          <w:tcPr>
            <w:tcW w:w="1686" w:type="dxa"/>
            <w:shd w:val="clear" w:color="auto" w:fill="D9D9D9"/>
          </w:tcPr>
          <w:p w:rsidR="00D41A05" w:rsidRPr="009018D1" w:rsidRDefault="00D41A05" w:rsidP="001A357B">
            <w:pPr>
              <w:rPr>
                <w:rFonts w:ascii="Cambria" w:hAnsi="Cambria"/>
                <w:b/>
                <w:sz w:val="20"/>
                <w:szCs w:val="20"/>
                <w:lang w:val="en-GB"/>
              </w:rPr>
            </w:pPr>
            <w:r w:rsidRPr="009018D1">
              <w:rPr>
                <w:rFonts w:ascii="Cambria" w:hAnsi="Cambria"/>
                <w:b/>
                <w:sz w:val="20"/>
                <w:szCs w:val="20"/>
                <w:lang w:val="en-GB"/>
              </w:rPr>
              <w:t>Course title</w:t>
            </w:r>
          </w:p>
        </w:tc>
        <w:tc>
          <w:tcPr>
            <w:tcW w:w="7330" w:type="dxa"/>
            <w:gridSpan w:val="7"/>
          </w:tcPr>
          <w:p w:rsidR="00D41A05" w:rsidRPr="009018D1" w:rsidRDefault="00D41A05" w:rsidP="001A357B">
            <w:pPr>
              <w:jc w:val="center"/>
              <w:rPr>
                <w:rFonts w:ascii="Cambria" w:hAnsi="Cambria"/>
                <w:b/>
                <w:caps/>
                <w:sz w:val="20"/>
                <w:szCs w:val="20"/>
                <w:lang w:val="en-GB"/>
              </w:rPr>
            </w:pPr>
            <w:r>
              <w:rPr>
                <w:rFonts w:ascii="Cambria" w:hAnsi="Cambria"/>
                <w:b/>
                <w:caps/>
                <w:sz w:val="20"/>
                <w:szCs w:val="20"/>
                <w:lang w:val="en-GB"/>
              </w:rPr>
              <w:t>Selected Themes from New and Modern General Church History</w:t>
            </w:r>
          </w:p>
        </w:tc>
      </w:tr>
      <w:tr w:rsidR="00D41A05" w:rsidRPr="009018D1" w:rsidTr="00D41A05">
        <w:trPr>
          <w:cantSplit/>
          <w:trHeight w:val="316"/>
        </w:trPr>
        <w:tc>
          <w:tcPr>
            <w:tcW w:w="1686" w:type="dxa"/>
            <w:shd w:val="clear" w:color="auto" w:fill="D9D9D9"/>
          </w:tcPr>
          <w:p w:rsidR="00D41A05" w:rsidRPr="009018D1" w:rsidRDefault="00D41A05" w:rsidP="001A357B">
            <w:pPr>
              <w:rPr>
                <w:rFonts w:ascii="Cambria" w:hAnsi="Cambria"/>
                <w:b/>
                <w:sz w:val="20"/>
                <w:szCs w:val="20"/>
                <w:lang w:val="en-GB"/>
              </w:rPr>
            </w:pPr>
            <w:r>
              <w:rPr>
                <w:rFonts w:ascii="Cambria" w:hAnsi="Cambria"/>
                <w:b/>
                <w:sz w:val="20"/>
                <w:szCs w:val="20"/>
                <w:lang w:val="en-GB"/>
              </w:rPr>
              <w:t>Course code</w:t>
            </w:r>
          </w:p>
        </w:tc>
        <w:tc>
          <w:tcPr>
            <w:tcW w:w="7330" w:type="dxa"/>
            <w:gridSpan w:val="7"/>
          </w:tcPr>
          <w:p w:rsidR="00D41A05" w:rsidRPr="009018D1" w:rsidRDefault="00D41A05" w:rsidP="001A357B">
            <w:pPr>
              <w:jc w:val="center"/>
              <w:rPr>
                <w:rFonts w:ascii="Cambria" w:hAnsi="Cambria"/>
                <w:b/>
                <w:caps/>
                <w:sz w:val="20"/>
                <w:szCs w:val="20"/>
                <w:lang w:val="en-GB"/>
              </w:rPr>
            </w:pPr>
            <w:r>
              <w:rPr>
                <w:rFonts w:ascii="Cambria" w:hAnsi="Cambria"/>
                <w:b/>
                <w:caps/>
                <w:sz w:val="20"/>
                <w:szCs w:val="20"/>
                <w:lang w:val="en-GB"/>
              </w:rPr>
              <w:t>CFT - 146960</w:t>
            </w:r>
          </w:p>
        </w:tc>
      </w:tr>
      <w:tr w:rsidR="00D41A05" w:rsidRPr="009018D1" w:rsidTr="00D41A05">
        <w:trPr>
          <w:cantSplit/>
          <w:trHeight w:val="1402"/>
        </w:trPr>
        <w:tc>
          <w:tcPr>
            <w:tcW w:w="1686" w:type="dxa"/>
            <w:shd w:val="clear" w:color="auto" w:fill="D9D9D9"/>
          </w:tcPr>
          <w:p w:rsidR="00D41A05" w:rsidRPr="009018D1" w:rsidRDefault="00D41A05" w:rsidP="001A357B">
            <w:pPr>
              <w:rPr>
                <w:rFonts w:ascii="Cambria" w:hAnsi="Cambria"/>
                <w:b/>
                <w:sz w:val="20"/>
                <w:szCs w:val="20"/>
                <w:lang w:val="en-GB"/>
              </w:rPr>
            </w:pPr>
            <w:r w:rsidRPr="009018D1">
              <w:rPr>
                <w:rFonts w:ascii="Cambria" w:hAnsi="Cambria"/>
                <w:b/>
                <w:sz w:val="20"/>
                <w:szCs w:val="20"/>
                <w:lang w:val="en-GB"/>
              </w:rPr>
              <w:t>Learning outcomes</w:t>
            </w:r>
          </w:p>
        </w:tc>
        <w:tc>
          <w:tcPr>
            <w:tcW w:w="7330" w:type="dxa"/>
            <w:gridSpan w:val="7"/>
            <w:tcBorders>
              <w:bottom w:val="single" w:sz="4" w:space="0" w:color="000000"/>
            </w:tcBorders>
          </w:tcPr>
          <w:p w:rsidR="00D41A05" w:rsidRDefault="00D41A05" w:rsidP="00D41A05">
            <w:pPr>
              <w:spacing w:line="256" w:lineRule="auto"/>
              <w:jc w:val="both"/>
              <w:rPr>
                <w:rFonts w:ascii="Cambria" w:hAnsi="Cambria"/>
                <w:sz w:val="20"/>
                <w:szCs w:val="20"/>
                <w:lang w:val="en-GB"/>
              </w:rPr>
            </w:pPr>
            <w:r>
              <w:rPr>
                <w:rFonts w:ascii="Cambria" w:hAnsi="Cambria"/>
                <w:sz w:val="20"/>
                <w:szCs w:val="20"/>
                <w:lang w:val="en-GB"/>
              </w:rPr>
              <w:t>After successfully completing the course, the student will be able to:</w:t>
            </w:r>
          </w:p>
          <w:p w:rsidR="00D41A05" w:rsidRDefault="00D41A05" w:rsidP="00D41A05">
            <w:pPr>
              <w:spacing w:line="256" w:lineRule="auto"/>
              <w:jc w:val="both"/>
              <w:rPr>
                <w:rFonts w:ascii="Cambria" w:hAnsi="Cambria"/>
                <w:sz w:val="20"/>
                <w:szCs w:val="20"/>
                <w:lang w:val="en-GB"/>
              </w:rPr>
            </w:pPr>
            <w:r>
              <w:rPr>
                <w:rFonts w:ascii="Cambria" w:hAnsi="Cambria"/>
                <w:sz w:val="20"/>
                <w:szCs w:val="20"/>
                <w:lang w:val="en-GB"/>
              </w:rPr>
              <w:t>1. Recognize the role of theological and philosophical directions in the development of the society and the Church, and recognize the correlation between the processes that took place within the then society and the Church.</w:t>
            </w:r>
          </w:p>
          <w:p w:rsidR="00D41A05" w:rsidRDefault="00D41A05" w:rsidP="00D41A05">
            <w:pPr>
              <w:spacing w:line="256" w:lineRule="auto"/>
              <w:jc w:val="both"/>
              <w:rPr>
                <w:rFonts w:ascii="Cambria" w:hAnsi="Cambria"/>
                <w:sz w:val="20"/>
                <w:szCs w:val="20"/>
                <w:lang w:val="en-GB"/>
              </w:rPr>
            </w:pPr>
            <w:r>
              <w:rPr>
                <w:rFonts w:ascii="Cambria" w:hAnsi="Cambria"/>
                <w:sz w:val="20"/>
                <w:szCs w:val="20"/>
                <w:lang w:val="en-GB"/>
              </w:rPr>
              <w:t>2. Compare the processes in the society and the Church, and judge what distinguishes them and what they have in common.</w:t>
            </w:r>
          </w:p>
          <w:p w:rsidR="00D41A05" w:rsidRDefault="00D41A05" w:rsidP="00D41A05">
            <w:pPr>
              <w:spacing w:line="256" w:lineRule="auto"/>
              <w:jc w:val="both"/>
              <w:rPr>
                <w:rFonts w:ascii="Cambria" w:hAnsi="Cambria"/>
                <w:sz w:val="20"/>
                <w:szCs w:val="20"/>
                <w:lang w:val="en-GB"/>
              </w:rPr>
            </w:pPr>
            <w:r>
              <w:rPr>
                <w:rFonts w:ascii="Cambria" w:hAnsi="Cambria"/>
                <w:sz w:val="20"/>
                <w:szCs w:val="20"/>
                <w:lang w:val="en-GB"/>
              </w:rPr>
              <w:t>3. Evaluate Protestantism in the light of viewing historical facts and in the spirit of ecumenism.</w:t>
            </w:r>
          </w:p>
        </w:tc>
      </w:tr>
      <w:tr w:rsidR="0004029D" w:rsidTr="0004029D">
        <w:trPr>
          <w:cantSplit/>
          <w:trHeight w:val="90"/>
        </w:trPr>
        <w:tc>
          <w:tcPr>
            <w:tcW w:w="1686"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D41A05" w:rsidRDefault="00D41A05" w:rsidP="001A357B">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ECTS</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Learning outcome</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Points</w:t>
            </w:r>
          </w:p>
        </w:tc>
      </w:tr>
      <w:tr w:rsidR="00D41A05" w:rsidTr="0004029D">
        <w:trPr>
          <w:cantSplit/>
          <w:trHeight w:val="90"/>
        </w:trPr>
        <w:tc>
          <w:tcPr>
            <w:tcW w:w="1686" w:type="dxa"/>
            <w:vMerge/>
            <w:tcBorders>
              <w:top w:val="single" w:sz="4" w:space="0" w:color="000000"/>
              <w:left w:val="single" w:sz="4" w:space="0" w:color="000000"/>
              <w:bottom w:val="single" w:sz="4" w:space="0" w:color="000000"/>
              <w:right w:val="single" w:sz="4" w:space="0" w:color="000000"/>
            </w:tcBorders>
            <w:vAlign w:val="center"/>
            <w:hideMark/>
          </w:tcPr>
          <w:p w:rsidR="00D41A05" w:rsidRDefault="00D41A05" w:rsidP="001A357B">
            <w:pPr>
              <w:spacing w:line="256" w:lineRule="auto"/>
              <w:rPr>
                <w:rFonts w:ascii="Cambria" w:hAnsi="Cambria"/>
                <w:b/>
                <w:sz w:val="20"/>
                <w:szCs w:val="20"/>
                <w:lang w:val="en-GB"/>
              </w:rPr>
            </w:pPr>
          </w:p>
        </w:tc>
        <w:tc>
          <w:tcPr>
            <w:tcW w:w="1637" w:type="dxa"/>
            <w:vMerge/>
            <w:tcBorders>
              <w:top w:val="single" w:sz="4" w:space="0" w:color="000000"/>
              <w:left w:val="single" w:sz="4" w:space="0" w:color="000000"/>
              <w:bottom w:val="single" w:sz="4" w:space="0" w:color="000000"/>
              <w:right w:val="single" w:sz="4" w:space="0" w:color="000000"/>
            </w:tcBorders>
            <w:vAlign w:val="center"/>
            <w:hideMark/>
          </w:tcPr>
          <w:p w:rsidR="00D41A05" w:rsidRDefault="00D41A05" w:rsidP="001A357B">
            <w:pPr>
              <w:spacing w:line="256" w:lineRule="auto"/>
              <w:rPr>
                <w:rFonts w:ascii="Cambria" w:hAnsi="Cambria"/>
                <w:sz w:val="20"/>
                <w:szCs w:val="20"/>
                <w:lang w:val="en-GB"/>
              </w:rPr>
            </w:pPr>
          </w:p>
        </w:tc>
        <w:tc>
          <w:tcPr>
            <w:tcW w:w="666" w:type="dxa"/>
            <w:vMerge/>
            <w:tcBorders>
              <w:top w:val="single" w:sz="4" w:space="0" w:color="000000"/>
              <w:left w:val="single" w:sz="4" w:space="0" w:color="000000"/>
              <w:bottom w:val="single" w:sz="4" w:space="0" w:color="000000"/>
              <w:right w:val="single" w:sz="4" w:space="0" w:color="000000"/>
            </w:tcBorders>
            <w:vAlign w:val="center"/>
            <w:hideMark/>
          </w:tcPr>
          <w:p w:rsidR="00D41A05" w:rsidRDefault="00D41A05" w:rsidP="001A357B">
            <w:pPr>
              <w:spacing w:line="256" w:lineRule="auto"/>
              <w:rPr>
                <w:rFonts w:ascii="Cambria" w:hAnsi="Cambria"/>
                <w:sz w:val="20"/>
                <w:szCs w:val="20"/>
                <w:lang w:val="en-GB"/>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41A05" w:rsidRDefault="00D41A05" w:rsidP="001A357B">
            <w:pPr>
              <w:spacing w:line="256" w:lineRule="auto"/>
              <w:rPr>
                <w:rFonts w:ascii="Cambria" w:hAnsi="Cambria"/>
                <w:sz w:val="20"/>
                <w:szCs w:val="20"/>
                <w:lang w:val="en-GB"/>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D41A05" w:rsidRDefault="00D41A05" w:rsidP="001A357B">
            <w:pPr>
              <w:spacing w:line="256" w:lineRule="auto"/>
              <w:rPr>
                <w:rFonts w:ascii="Cambria" w:hAnsi="Cambria"/>
                <w:sz w:val="20"/>
                <w:szCs w:val="20"/>
                <w:lang w:val="en-GB"/>
              </w:rPr>
            </w:pP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D41A05" w:rsidRDefault="00D41A05" w:rsidP="001A357B">
            <w:pPr>
              <w:spacing w:line="256" w:lineRule="auto"/>
              <w:rPr>
                <w:rFonts w:ascii="Cambria" w:hAnsi="Cambria"/>
                <w:sz w:val="20"/>
                <w:szCs w:val="20"/>
                <w:lang w:val="en-GB"/>
              </w:rPr>
            </w:pPr>
          </w:p>
        </w:tc>
        <w:tc>
          <w:tcPr>
            <w:tcW w:w="563" w:type="dxa"/>
            <w:tcBorders>
              <w:top w:val="single" w:sz="4" w:space="0" w:color="000000"/>
              <w:left w:val="single" w:sz="4" w:space="0" w:color="000000"/>
              <w:bottom w:val="single" w:sz="4" w:space="0" w:color="000000"/>
              <w:right w:val="single" w:sz="4" w:space="0" w:color="000000"/>
            </w:tcBorders>
            <w:shd w:val="clear" w:color="auto" w:fill="D6E3BC"/>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min</w:t>
            </w:r>
          </w:p>
        </w:tc>
        <w:tc>
          <w:tcPr>
            <w:tcW w:w="566" w:type="dxa"/>
            <w:tcBorders>
              <w:top w:val="single" w:sz="4" w:space="0" w:color="000000"/>
              <w:left w:val="single" w:sz="4" w:space="0" w:color="000000"/>
              <w:bottom w:val="single" w:sz="4" w:space="0" w:color="000000"/>
              <w:right w:val="single" w:sz="4" w:space="0" w:color="000000"/>
            </w:tcBorders>
            <w:shd w:val="clear" w:color="auto" w:fill="D6E3BC"/>
            <w:hideMark/>
          </w:tcPr>
          <w:p w:rsidR="00D41A05" w:rsidRDefault="00D41A05" w:rsidP="001A357B">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D41A05" w:rsidTr="0004029D">
        <w:trPr>
          <w:cantSplit/>
          <w:trHeight w:val="192"/>
        </w:trPr>
        <w:tc>
          <w:tcPr>
            <w:tcW w:w="1686" w:type="dxa"/>
            <w:vMerge/>
            <w:tcBorders>
              <w:top w:val="single" w:sz="4" w:space="0" w:color="000000"/>
              <w:left w:val="single" w:sz="4" w:space="0" w:color="000000"/>
              <w:bottom w:val="single" w:sz="4" w:space="0" w:color="000000"/>
              <w:right w:val="single" w:sz="4" w:space="0" w:color="000000"/>
            </w:tcBorders>
            <w:vAlign w:val="center"/>
            <w:hideMark/>
          </w:tcPr>
          <w:p w:rsidR="00D41A05" w:rsidRDefault="00D41A05" w:rsidP="001A357B">
            <w:pPr>
              <w:spacing w:line="256" w:lineRule="auto"/>
              <w:rPr>
                <w:rFonts w:ascii="Cambria" w:hAnsi="Cambria"/>
                <w:b/>
                <w:sz w:val="20"/>
                <w:szCs w:val="20"/>
                <w:lang w:val="en-GB"/>
              </w:rPr>
            </w:pPr>
          </w:p>
        </w:tc>
        <w:tc>
          <w:tcPr>
            <w:tcW w:w="1637"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rPr>
                <w:rFonts w:ascii="Cambria" w:hAnsi="Cambria"/>
                <w:sz w:val="20"/>
                <w:szCs w:val="20"/>
                <w:lang w:val="en-GB"/>
              </w:rPr>
            </w:pPr>
            <w:r>
              <w:rPr>
                <w:rFonts w:ascii="Cambria" w:hAnsi="Cambria"/>
                <w:sz w:val="20"/>
                <w:szCs w:val="20"/>
                <w:lang w:val="en-GB"/>
              </w:rPr>
              <w:t>Lecture attendance</w:t>
            </w:r>
          </w:p>
        </w:tc>
        <w:tc>
          <w:tcPr>
            <w:tcW w:w="66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0.5</w:t>
            </w:r>
          </w:p>
        </w:tc>
        <w:tc>
          <w:tcPr>
            <w:tcW w:w="116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1-3</w:t>
            </w:r>
          </w:p>
        </w:tc>
        <w:tc>
          <w:tcPr>
            <w:tcW w:w="141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rPr>
                <w:rFonts w:ascii="Cambria" w:hAnsi="Cambria"/>
                <w:sz w:val="20"/>
                <w:szCs w:val="20"/>
                <w:lang w:val="en-GB"/>
              </w:rPr>
            </w:pPr>
            <w:r>
              <w:rPr>
                <w:rFonts w:ascii="Cambria" w:hAnsi="Cambria"/>
                <w:sz w:val="20"/>
                <w:szCs w:val="20"/>
                <w:lang w:val="en-GB"/>
              </w:rPr>
              <w:t>Presence at classes</w:t>
            </w:r>
          </w:p>
        </w:tc>
        <w:tc>
          <w:tcPr>
            <w:tcW w:w="131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rPr>
                <w:rFonts w:ascii="Cambria" w:hAnsi="Cambria"/>
                <w:sz w:val="20"/>
                <w:szCs w:val="20"/>
                <w:lang w:val="en-GB"/>
              </w:rPr>
            </w:pPr>
            <w:r>
              <w:rPr>
                <w:rFonts w:ascii="Cambria" w:hAnsi="Cambria"/>
                <w:sz w:val="20"/>
                <w:szCs w:val="20"/>
                <w:lang w:val="en-GB"/>
              </w:rPr>
              <w:t>Records</w:t>
            </w:r>
          </w:p>
        </w:tc>
        <w:tc>
          <w:tcPr>
            <w:tcW w:w="563"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ind w:left="-4"/>
              <w:jc w:val="center"/>
              <w:rPr>
                <w:rFonts w:ascii="Cambria" w:hAnsi="Cambria"/>
                <w:sz w:val="20"/>
                <w:szCs w:val="20"/>
                <w:lang w:val="en-GB"/>
              </w:rPr>
            </w:pPr>
            <w:r>
              <w:rPr>
                <w:rFonts w:ascii="Cambria" w:hAnsi="Cambria"/>
                <w:sz w:val="20"/>
                <w:szCs w:val="20"/>
                <w:lang w:val="en-GB"/>
              </w:rPr>
              <w:t>7</w:t>
            </w:r>
          </w:p>
        </w:tc>
        <w:tc>
          <w:tcPr>
            <w:tcW w:w="56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10</w:t>
            </w:r>
          </w:p>
        </w:tc>
      </w:tr>
      <w:tr w:rsidR="00D41A05" w:rsidTr="0004029D">
        <w:trPr>
          <w:cantSplit/>
          <w:trHeight w:val="192"/>
        </w:trPr>
        <w:tc>
          <w:tcPr>
            <w:tcW w:w="1686" w:type="dxa"/>
            <w:vMerge/>
            <w:tcBorders>
              <w:top w:val="single" w:sz="4" w:space="0" w:color="000000"/>
              <w:left w:val="single" w:sz="4" w:space="0" w:color="000000"/>
              <w:bottom w:val="single" w:sz="4" w:space="0" w:color="000000"/>
              <w:right w:val="single" w:sz="4" w:space="0" w:color="000000"/>
            </w:tcBorders>
            <w:vAlign w:val="center"/>
            <w:hideMark/>
          </w:tcPr>
          <w:p w:rsidR="00D41A05" w:rsidRDefault="00D41A05" w:rsidP="001A357B">
            <w:pPr>
              <w:spacing w:line="256" w:lineRule="auto"/>
              <w:rPr>
                <w:rFonts w:ascii="Cambria" w:hAnsi="Cambria"/>
                <w:b/>
                <w:sz w:val="20"/>
                <w:szCs w:val="20"/>
                <w:lang w:val="en-GB"/>
              </w:rPr>
            </w:pPr>
          </w:p>
        </w:tc>
        <w:tc>
          <w:tcPr>
            <w:tcW w:w="1637"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rPr>
                <w:rFonts w:ascii="Cambria" w:hAnsi="Cambria"/>
                <w:sz w:val="20"/>
                <w:szCs w:val="20"/>
                <w:lang w:val="en-GB"/>
              </w:rPr>
            </w:pPr>
            <w:r>
              <w:rPr>
                <w:rFonts w:ascii="Cambria" w:hAnsi="Cambria"/>
                <w:sz w:val="20"/>
                <w:szCs w:val="20"/>
                <w:lang w:val="en-GB"/>
              </w:rPr>
              <w:t>Continuous assessment (midterm exam)</w:t>
            </w:r>
          </w:p>
        </w:tc>
        <w:tc>
          <w:tcPr>
            <w:tcW w:w="66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1</w:t>
            </w:r>
          </w:p>
        </w:tc>
        <w:tc>
          <w:tcPr>
            <w:tcW w:w="116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1-3</w:t>
            </w:r>
          </w:p>
        </w:tc>
        <w:tc>
          <w:tcPr>
            <w:tcW w:w="141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rPr>
                <w:rFonts w:ascii="Cambria" w:hAnsi="Cambria"/>
                <w:sz w:val="20"/>
                <w:szCs w:val="20"/>
                <w:lang w:val="en-GB"/>
              </w:rPr>
            </w:pPr>
            <w:r>
              <w:rPr>
                <w:rFonts w:ascii="Cambria" w:hAnsi="Cambria"/>
                <w:sz w:val="20"/>
                <w:szCs w:val="20"/>
                <w:lang w:val="en-GB"/>
              </w:rPr>
              <w:t>Preparation for the written exam</w:t>
            </w:r>
          </w:p>
        </w:tc>
        <w:tc>
          <w:tcPr>
            <w:tcW w:w="131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rPr>
                <w:rFonts w:ascii="Cambria" w:hAnsi="Cambria"/>
                <w:sz w:val="20"/>
                <w:szCs w:val="20"/>
                <w:lang w:val="en-GB"/>
              </w:rPr>
            </w:pPr>
            <w:r>
              <w:rPr>
                <w:rFonts w:ascii="Cambria" w:hAnsi="Cambria"/>
                <w:sz w:val="20"/>
                <w:szCs w:val="20"/>
                <w:lang w:val="en-GB"/>
              </w:rPr>
              <w:t>Written exam</w:t>
            </w:r>
          </w:p>
        </w:tc>
        <w:tc>
          <w:tcPr>
            <w:tcW w:w="563"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ind w:left="-4"/>
              <w:jc w:val="center"/>
              <w:rPr>
                <w:rFonts w:ascii="Cambria" w:hAnsi="Cambria"/>
                <w:sz w:val="20"/>
                <w:szCs w:val="20"/>
                <w:lang w:val="en-GB"/>
              </w:rPr>
            </w:pPr>
            <w:r>
              <w:rPr>
                <w:rFonts w:ascii="Cambria" w:hAnsi="Cambria"/>
                <w:sz w:val="20"/>
                <w:szCs w:val="20"/>
                <w:lang w:val="en-GB"/>
              </w:rPr>
              <w:t>40</w:t>
            </w:r>
          </w:p>
        </w:tc>
        <w:tc>
          <w:tcPr>
            <w:tcW w:w="56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60</w:t>
            </w:r>
          </w:p>
        </w:tc>
      </w:tr>
      <w:tr w:rsidR="00D41A05" w:rsidTr="0004029D">
        <w:trPr>
          <w:cantSplit/>
          <w:trHeight w:val="192"/>
        </w:trPr>
        <w:tc>
          <w:tcPr>
            <w:tcW w:w="1686" w:type="dxa"/>
            <w:vMerge/>
            <w:tcBorders>
              <w:top w:val="single" w:sz="4" w:space="0" w:color="000000"/>
              <w:left w:val="single" w:sz="4" w:space="0" w:color="000000"/>
              <w:bottom w:val="single" w:sz="4" w:space="0" w:color="000000"/>
              <w:right w:val="single" w:sz="4" w:space="0" w:color="000000"/>
            </w:tcBorders>
            <w:vAlign w:val="center"/>
            <w:hideMark/>
          </w:tcPr>
          <w:p w:rsidR="00D41A05" w:rsidRDefault="00D41A05" w:rsidP="001A357B">
            <w:pPr>
              <w:spacing w:line="256" w:lineRule="auto"/>
              <w:rPr>
                <w:rFonts w:ascii="Cambria" w:hAnsi="Cambria"/>
                <w:b/>
                <w:sz w:val="20"/>
                <w:szCs w:val="20"/>
                <w:lang w:val="en-GB"/>
              </w:rPr>
            </w:pPr>
          </w:p>
        </w:tc>
        <w:tc>
          <w:tcPr>
            <w:tcW w:w="1637"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rPr>
                <w:rFonts w:ascii="Cambria" w:hAnsi="Cambria"/>
                <w:sz w:val="20"/>
                <w:szCs w:val="20"/>
                <w:lang w:val="en-GB"/>
              </w:rPr>
            </w:pPr>
            <w:r>
              <w:rPr>
                <w:rFonts w:ascii="Cambria" w:hAnsi="Cambria"/>
                <w:sz w:val="20"/>
                <w:szCs w:val="20"/>
                <w:lang w:val="en-GB"/>
              </w:rPr>
              <w:t>Final exam</w:t>
            </w:r>
          </w:p>
        </w:tc>
        <w:tc>
          <w:tcPr>
            <w:tcW w:w="66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0.5</w:t>
            </w:r>
          </w:p>
        </w:tc>
        <w:tc>
          <w:tcPr>
            <w:tcW w:w="116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1-3</w:t>
            </w:r>
          </w:p>
        </w:tc>
        <w:tc>
          <w:tcPr>
            <w:tcW w:w="141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rPr>
                <w:rFonts w:ascii="Cambria" w:hAnsi="Cambria"/>
                <w:sz w:val="20"/>
                <w:szCs w:val="20"/>
                <w:lang w:val="en-GB"/>
              </w:rPr>
            </w:pPr>
            <w:r>
              <w:rPr>
                <w:rFonts w:ascii="Cambria" w:hAnsi="Cambria"/>
                <w:sz w:val="20"/>
                <w:szCs w:val="20"/>
                <w:lang w:val="en-GB"/>
              </w:rPr>
              <w:t>Revision</w:t>
            </w:r>
          </w:p>
        </w:tc>
        <w:tc>
          <w:tcPr>
            <w:tcW w:w="131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rPr>
                <w:rFonts w:ascii="Cambria" w:hAnsi="Cambria"/>
                <w:sz w:val="20"/>
                <w:szCs w:val="20"/>
                <w:lang w:val="en-GB"/>
              </w:rPr>
            </w:pPr>
            <w:r>
              <w:rPr>
                <w:rFonts w:ascii="Cambria" w:hAnsi="Cambria"/>
                <w:sz w:val="20"/>
                <w:szCs w:val="20"/>
                <w:lang w:val="en-GB"/>
              </w:rPr>
              <w:t>Oral exam</w:t>
            </w:r>
          </w:p>
        </w:tc>
        <w:tc>
          <w:tcPr>
            <w:tcW w:w="563"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10</w:t>
            </w:r>
          </w:p>
        </w:tc>
        <w:tc>
          <w:tcPr>
            <w:tcW w:w="566"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30</w:t>
            </w:r>
          </w:p>
        </w:tc>
      </w:tr>
      <w:tr w:rsidR="00D41A05" w:rsidTr="0004029D">
        <w:trPr>
          <w:cantSplit/>
          <w:trHeight w:val="192"/>
        </w:trPr>
        <w:tc>
          <w:tcPr>
            <w:tcW w:w="1686" w:type="dxa"/>
            <w:vMerge/>
            <w:tcBorders>
              <w:top w:val="single" w:sz="4" w:space="0" w:color="000000"/>
              <w:left w:val="single" w:sz="4" w:space="0" w:color="000000"/>
              <w:bottom w:val="single" w:sz="4" w:space="0" w:color="000000"/>
              <w:right w:val="single" w:sz="4" w:space="0" w:color="000000"/>
            </w:tcBorders>
            <w:vAlign w:val="center"/>
            <w:hideMark/>
          </w:tcPr>
          <w:p w:rsidR="00D41A05" w:rsidRDefault="00D41A05" w:rsidP="001A357B">
            <w:pPr>
              <w:spacing w:line="256" w:lineRule="auto"/>
              <w:rPr>
                <w:rFonts w:ascii="Cambria" w:hAnsi="Cambria"/>
                <w:b/>
                <w:sz w:val="20"/>
                <w:szCs w:val="20"/>
                <w:lang w:val="en-GB"/>
              </w:rPr>
            </w:pPr>
          </w:p>
        </w:tc>
        <w:tc>
          <w:tcPr>
            <w:tcW w:w="1637" w:type="dxa"/>
            <w:tcBorders>
              <w:top w:val="single" w:sz="4" w:space="0" w:color="000000"/>
              <w:left w:val="single" w:sz="4" w:space="0" w:color="000000"/>
              <w:bottom w:val="single" w:sz="4" w:space="0" w:color="000000"/>
              <w:right w:val="single" w:sz="4" w:space="0" w:color="000000"/>
            </w:tcBorders>
            <w:hideMark/>
          </w:tcPr>
          <w:p w:rsidR="00D41A05" w:rsidRDefault="00D41A05" w:rsidP="001A357B">
            <w:pPr>
              <w:spacing w:line="256" w:lineRule="auto"/>
              <w:rPr>
                <w:rFonts w:ascii="Cambria" w:hAnsi="Cambria"/>
                <w:sz w:val="20"/>
                <w:szCs w:val="20"/>
                <w:lang w:val="en-GB"/>
              </w:rPr>
            </w:pPr>
            <w:r>
              <w:rPr>
                <w:rFonts w:ascii="Cambria" w:hAnsi="Cambria"/>
                <w:sz w:val="20"/>
                <w:szCs w:val="20"/>
                <w:lang w:val="en-GB"/>
              </w:rPr>
              <w:t>Total:</w:t>
            </w:r>
          </w:p>
        </w:tc>
        <w:tc>
          <w:tcPr>
            <w:tcW w:w="666" w:type="dxa"/>
            <w:tcBorders>
              <w:top w:val="single" w:sz="4" w:space="0" w:color="000000"/>
              <w:left w:val="single" w:sz="4" w:space="0" w:color="000000"/>
              <w:bottom w:val="single" w:sz="4" w:space="0" w:color="000000"/>
              <w:right w:val="single" w:sz="4" w:space="0" w:color="000000"/>
            </w:tcBorders>
            <w:shd w:val="clear" w:color="auto" w:fill="D6E3BC"/>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2</w:t>
            </w:r>
          </w:p>
        </w:tc>
        <w:tc>
          <w:tcPr>
            <w:tcW w:w="1166" w:type="dxa"/>
            <w:tcBorders>
              <w:top w:val="single" w:sz="4" w:space="0" w:color="000000"/>
              <w:left w:val="single" w:sz="4" w:space="0" w:color="000000"/>
              <w:bottom w:val="single" w:sz="4" w:space="0" w:color="000000"/>
              <w:right w:val="single" w:sz="4" w:space="0" w:color="000000"/>
            </w:tcBorders>
          </w:tcPr>
          <w:p w:rsidR="00D41A05" w:rsidRDefault="00D41A05" w:rsidP="001A357B">
            <w:pPr>
              <w:spacing w:line="256" w:lineRule="auto"/>
              <w:jc w:val="center"/>
              <w:rPr>
                <w:rFonts w:ascii="Cambria" w:hAnsi="Cambria"/>
                <w:sz w:val="20"/>
                <w:szCs w:val="20"/>
                <w:lang w:val="en-GB"/>
              </w:rPr>
            </w:pPr>
          </w:p>
        </w:tc>
        <w:tc>
          <w:tcPr>
            <w:tcW w:w="1416" w:type="dxa"/>
            <w:tcBorders>
              <w:top w:val="single" w:sz="4" w:space="0" w:color="000000"/>
              <w:left w:val="single" w:sz="4" w:space="0" w:color="000000"/>
              <w:bottom w:val="single" w:sz="4" w:space="0" w:color="000000"/>
              <w:right w:val="single" w:sz="4" w:space="0" w:color="000000"/>
            </w:tcBorders>
          </w:tcPr>
          <w:p w:rsidR="00D41A05" w:rsidRDefault="00D41A05" w:rsidP="001A357B">
            <w:pPr>
              <w:spacing w:line="256" w:lineRule="auto"/>
              <w:rPr>
                <w:rFonts w:ascii="Cambria" w:hAnsi="Cambria"/>
                <w:sz w:val="20"/>
                <w:szCs w:val="20"/>
                <w:lang w:val="en-GB"/>
              </w:rPr>
            </w:pPr>
          </w:p>
        </w:tc>
        <w:tc>
          <w:tcPr>
            <w:tcW w:w="1316" w:type="dxa"/>
            <w:tcBorders>
              <w:top w:val="single" w:sz="4" w:space="0" w:color="000000"/>
              <w:left w:val="single" w:sz="4" w:space="0" w:color="000000"/>
              <w:bottom w:val="single" w:sz="4" w:space="0" w:color="000000"/>
              <w:right w:val="single" w:sz="4" w:space="0" w:color="000000"/>
            </w:tcBorders>
          </w:tcPr>
          <w:p w:rsidR="00D41A05" w:rsidRDefault="00D41A05" w:rsidP="001A357B">
            <w:pPr>
              <w:spacing w:line="256" w:lineRule="auto"/>
              <w:rPr>
                <w:rFonts w:ascii="Cambria" w:hAnsi="Cambria"/>
                <w:sz w:val="20"/>
                <w:szCs w:val="20"/>
                <w:lang w:val="en-GB"/>
              </w:rPr>
            </w:pPr>
          </w:p>
        </w:tc>
        <w:tc>
          <w:tcPr>
            <w:tcW w:w="563" w:type="dxa"/>
            <w:tcBorders>
              <w:top w:val="single" w:sz="4" w:space="0" w:color="000000"/>
              <w:left w:val="single" w:sz="4" w:space="0" w:color="000000"/>
              <w:bottom w:val="single" w:sz="4" w:space="0" w:color="000000"/>
              <w:right w:val="single" w:sz="4" w:space="0" w:color="000000"/>
            </w:tcBorders>
            <w:shd w:val="clear" w:color="auto" w:fill="D6E3BC"/>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57</w:t>
            </w:r>
          </w:p>
        </w:tc>
        <w:tc>
          <w:tcPr>
            <w:tcW w:w="566" w:type="dxa"/>
            <w:tcBorders>
              <w:top w:val="single" w:sz="4" w:space="0" w:color="000000"/>
              <w:left w:val="single" w:sz="4" w:space="0" w:color="000000"/>
              <w:bottom w:val="single" w:sz="4" w:space="0" w:color="000000"/>
              <w:right w:val="single" w:sz="4" w:space="0" w:color="000000"/>
            </w:tcBorders>
            <w:shd w:val="clear" w:color="auto" w:fill="D6E3BC"/>
            <w:hideMark/>
          </w:tcPr>
          <w:p w:rsidR="00D41A05" w:rsidRDefault="00D41A05" w:rsidP="001A357B">
            <w:pPr>
              <w:spacing w:line="256" w:lineRule="auto"/>
              <w:jc w:val="center"/>
              <w:rPr>
                <w:rFonts w:ascii="Cambria" w:hAnsi="Cambria"/>
                <w:sz w:val="20"/>
                <w:szCs w:val="20"/>
                <w:lang w:val="en-GB"/>
              </w:rPr>
            </w:pPr>
            <w:r>
              <w:rPr>
                <w:rFonts w:ascii="Cambria" w:hAnsi="Cambria"/>
                <w:sz w:val="20"/>
                <w:szCs w:val="20"/>
                <w:lang w:val="en-GB"/>
              </w:rPr>
              <w:t>100</w:t>
            </w:r>
          </w:p>
        </w:tc>
      </w:tr>
      <w:tr w:rsidR="00D41A05" w:rsidRPr="009018D1" w:rsidTr="00D41A05">
        <w:trPr>
          <w:cantSplit/>
          <w:trHeight w:val="219"/>
        </w:trPr>
        <w:tc>
          <w:tcPr>
            <w:tcW w:w="1686" w:type="dxa"/>
            <w:shd w:val="clear" w:color="auto" w:fill="D9D9D9"/>
          </w:tcPr>
          <w:p w:rsidR="00D41A05" w:rsidRPr="009F67D9" w:rsidRDefault="00D41A05" w:rsidP="001A357B">
            <w:pPr>
              <w:rPr>
                <w:rFonts w:ascii="Cambria" w:hAnsi="Cambria"/>
                <w:b/>
                <w:sz w:val="20"/>
                <w:szCs w:val="20"/>
                <w:lang w:val="en-GB"/>
              </w:rPr>
            </w:pPr>
            <w:proofErr w:type="spellStart"/>
            <w:r w:rsidRPr="009F67D9">
              <w:rPr>
                <w:rStyle w:val="Naglaeno"/>
                <w:rFonts w:ascii="Cambria" w:hAnsi="Cambria" w:cs="Calibri"/>
                <w:sz w:val="20"/>
                <w:szCs w:val="20"/>
              </w:rPr>
              <w:t>Class</w:t>
            </w:r>
            <w:proofErr w:type="spellEnd"/>
            <w:r w:rsidRPr="009F67D9">
              <w:rPr>
                <w:rStyle w:val="Naglaeno"/>
                <w:rFonts w:ascii="Cambria" w:hAnsi="Cambria" w:cs="Calibri"/>
                <w:sz w:val="20"/>
                <w:szCs w:val="20"/>
              </w:rPr>
              <w:t xml:space="preserve"> </w:t>
            </w:r>
            <w:proofErr w:type="spellStart"/>
            <w:r w:rsidRPr="009F67D9">
              <w:rPr>
                <w:rStyle w:val="Naglaeno"/>
                <w:rFonts w:ascii="Cambria" w:hAnsi="Cambria" w:cs="Calibri"/>
                <w:sz w:val="20"/>
                <w:szCs w:val="20"/>
              </w:rPr>
              <w:t>hours</w:t>
            </w:r>
            <w:proofErr w:type="spellEnd"/>
            <w:r w:rsidRPr="009F67D9">
              <w:rPr>
                <w:rStyle w:val="Naglaeno"/>
                <w:rFonts w:ascii="Cambria" w:hAnsi="Cambria" w:cs="Calibri"/>
                <w:sz w:val="20"/>
                <w:szCs w:val="20"/>
              </w:rPr>
              <w:t xml:space="preserve"> </w:t>
            </w:r>
            <w:proofErr w:type="spellStart"/>
            <w:r w:rsidRPr="009F67D9">
              <w:rPr>
                <w:rStyle w:val="Naglaeno"/>
                <w:rFonts w:ascii="Cambria" w:hAnsi="Cambria" w:cs="Calibri"/>
                <w:sz w:val="20"/>
                <w:szCs w:val="20"/>
              </w:rPr>
              <w:t>per</w:t>
            </w:r>
            <w:proofErr w:type="spellEnd"/>
            <w:r w:rsidRPr="009F67D9">
              <w:rPr>
                <w:rStyle w:val="Naglaeno"/>
                <w:rFonts w:ascii="Cambria" w:hAnsi="Cambria" w:cs="Calibri"/>
                <w:sz w:val="20"/>
                <w:szCs w:val="20"/>
              </w:rPr>
              <w:t xml:space="preserve"> </w:t>
            </w:r>
            <w:proofErr w:type="spellStart"/>
            <w:r w:rsidRPr="009F67D9">
              <w:rPr>
                <w:rStyle w:val="Naglaeno"/>
                <w:rFonts w:ascii="Cambria" w:hAnsi="Cambria" w:cs="Calibri"/>
                <w:sz w:val="20"/>
                <w:szCs w:val="20"/>
              </w:rPr>
              <w:t>week</w:t>
            </w:r>
            <w:proofErr w:type="spellEnd"/>
          </w:p>
        </w:tc>
        <w:tc>
          <w:tcPr>
            <w:tcW w:w="7330" w:type="dxa"/>
            <w:gridSpan w:val="7"/>
            <w:shd w:val="clear" w:color="auto" w:fill="auto"/>
            <w:vAlign w:val="center"/>
          </w:tcPr>
          <w:p w:rsidR="00D41A05" w:rsidRPr="009018D1" w:rsidRDefault="00D41A05" w:rsidP="001A357B">
            <w:pPr>
              <w:rPr>
                <w:rFonts w:ascii="Cambria" w:hAnsi="Cambria"/>
                <w:sz w:val="20"/>
                <w:szCs w:val="20"/>
                <w:lang w:val="en-GB"/>
              </w:rPr>
            </w:pPr>
            <w:r>
              <w:rPr>
                <w:rFonts w:ascii="Cambria" w:hAnsi="Cambria"/>
                <w:sz w:val="20"/>
                <w:szCs w:val="20"/>
                <w:lang w:val="en-GB"/>
              </w:rPr>
              <w:t>1/WS</w:t>
            </w:r>
          </w:p>
        </w:tc>
      </w:tr>
      <w:tr w:rsidR="00D41A05" w:rsidRPr="009018D1" w:rsidTr="00D41A05">
        <w:trPr>
          <w:cantSplit/>
          <w:trHeight w:val="219"/>
        </w:trPr>
        <w:tc>
          <w:tcPr>
            <w:tcW w:w="1686" w:type="dxa"/>
            <w:shd w:val="clear" w:color="auto" w:fill="D9D9D9"/>
          </w:tcPr>
          <w:p w:rsidR="00D41A05" w:rsidRPr="009018D1" w:rsidRDefault="00D41A05" w:rsidP="001A357B">
            <w:pPr>
              <w:rPr>
                <w:rFonts w:ascii="Cambria" w:hAnsi="Cambria"/>
                <w:b/>
                <w:sz w:val="20"/>
                <w:szCs w:val="20"/>
                <w:lang w:val="en-GB"/>
              </w:rPr>
            </w:pPr>
            <w:r>
              <w:rPr>
                <w:rFonts w:ascii="Cambria" w:hAnsi="Cambria"/>
                <w:b/>
                <w:sz w:val="20"/>
                <w:szCs w:val="20"/>
                <w:lang w:val="en-GB"/>
              </w:rPr>
              <w:t>Teaching language (min. 5 students)</w:t>
            </w:r>
          </w:p>
        </w:tc>
        <w:tc>
          <w:tcPr>
            <w:tcW w:w="7330" w:type="dxa"/>
            <w:gridSpan w:val="7"/>
            <w:shd w:val="clear" w:color="auto" w:fill="auto"/>
            <w:vAlign w:val="center"/>
          </w:tcPr>
          <w:p w:rsidR="00D41A05" w:rsidRPr="009018D1" w:rsidRDefault="00D41A05" w:rsidP="001A357B">
            <w:pPr>
              <w:jc w:val="center"/>
              <w:rPr>
                <w:rFonts w:ascii="Cambria" w:hAnsi="Cambria"/>
                <w:sz w:val="20"/>
                <w:szCs w:val="20"/>
                <w:lang w:val="en-GB"/>
              </w:rPr>
            </w:pPr>
            <w:r>
              <w:rPr>
                <w:rFonts w:ascii="Cambria" w:hAnsi="Cambria"/>
                <w:sz w:val="20"/>
                <w:szCs w:val="20"/>
                <w:lang w:val="en-GB"/>
              </w:rPr>
              <w:t>English, Italian</w:t>
            </w:r>
          </w:p>
        </w:tc>
      </w:tr>
      <w:tr w:rsidR="00D41A05" w:rsidRPr="009018D1" w:rsidTr="00D41A05">
        <w:trPr>
          <w:cantSplit/>
          <w:trHeight w:val="219"/>
        </w:trPr>
        <w:tc>
          <w:tcPr>
            <w:tcW w:w="1686" w:type="dxa"/>
            <w:shd w:val="clear" w:color="auto" w:fill="D9D9D9"/>
          </w:tcPr>
          <w:p w:rsidR="00D41A05" w:rsidRPr="009018D1" w:rsidRDefault="00D41A05" w:rsidP="001A357B">
            <w:pPr>
              <w:rPr>
                <w:rFonts w:ascii="Cambria" w:hAnsi="Cambria"/>
                <w:b/>
                <w:sz w:val="20"/>
                <w:szCs w:val="20"/>
                <w:lang w:val="en-GB"/>
              </w:rPr>
            </w:pPr>
            <w:r>
              <w:rPr>
                <w:rFonts w:ascii="Cambria" w:hAnsi="Cambria"/>
                <w:b/>
                <w:sz w:val="20"/>
                <w:szCs w:val="20"/>
                <w:lang w:val="en-GB"/>
              </w:rPr>
              <w:t>Language of consultation</w:t>
            </w:r>
          </w:p>
        </w:tc>
        <w:tc>
          <w:tcPr>
            <w:tcW w:w="7330" w:type="dxa"/>
            <w:gridSpan w:val="7"/>
            <w:shd w:val="clear" w:color="auto" w:fill="auto"/>
            <w:vAlign w:val="center"/>
          </w:tcPr>
          <w:p w:rsidR="00D41A05" w:rsidRPr="009018D1" w:rsidRDefault="00D41A05" w:rsidP="001A357B">
            <w:pPr>
              <w:jc w:val="center"/>
              <w:rPr>
                <w:rFonts w:ascii="Cambria" w:hAnsi="Cambria"/>
                <w:sz w:val="20"/>
                <w:szCs w:val="20"/>
                <w:lang w:val="en-GB"/>
              </w:rPr>
            </w:pPr>
            <w:r>
              <w:rPr>
                <w:rFonts w:ascii="Cambria" w:hAnsi="Cambria"/>
                <w:sz w:val="20"/>
                <w:szCs w:val="20"/>
                <w:lang w:val="en-GB"/>
              </w:rPr>
              <w:t>English, Italian</w:t>
            </w:r>
          </w:p>
        </w:tc>
      </w:tr>
      <w:tr w:rsidR="00D41A05" w:rsidRPr="009018D1" w:rsidTr="00D41A05">
        <w:trPr>
          <w:cantSplit/>
          <w:trHeight w:val="394"/>
        </w:trPr>
        <w:tc>
          <w:tcPr>
            <w:tcW w:w="1686" w:type="dxa"/>
            <w:tcBorders>
              <w:top w:val="single" w:sz="4" w:space="0" w:color="000000"/>
              <w:left w:val="single" w:sz="4" w:space="0" w:color="000000"/>
              <w:bottom w:val="single" w:sz="4" w:space="0" w:color="000000"/>
              <w:right w:val="single" w:sz="4" w:space="0" w:color="000000"/>
            </w:tcBorders>
            <w:shd w:val="clear" w:color="auto" w:fill="D9D9D9"/>
          </w:tcPr>
          <w:p w:rsidR="00D41A05" w:rsidRPr="009018D1" w:rsidRDefault="00D41A05" w:rsidP="001A357B">
            <w:pPr>
              <w:rPr>
                <w:rFonts w:ascii="Cambria" w:hAnsi="Cambria"/>
                <w:b/>
                <w:sz w:val="20"/>
                <w:szCs w:val="20"/>
                <w:lang w:val="en-GB"/>
              </w:rPr>
            </w:pPr>
            <w:r w:rsidRPr="009018D1">
              <w:rPr>
                <w:rFonts w:ascii="Cambria" w:hAnsi="Cambria"/>
                <w:b/>
                <w:sz w:val="20"/>
                <w:szCs w:val="20"/>
                <w:lang w:val="en-GB"/>
              </w:rPr>
              <w:t>Course director</w:t>
            </w:r>
          </w:p>
        </w:tc>
        <w:tc>
          <w:tcPr>
            <w:tcW w:w="73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41A05" w:rsidRPr="009018D1" w:rsidRDefault="00D41A05" w:rsidP="001A357B">
            <w:pPr>
              <w:jc w:val="center"/>
              <w:rPr>
                <w:rFonts w:ascii="Cambria" w:hAnsi="Cambria"/>
                <w:sz w:val="20"/>
                <w:szCs w:val="20"/>
                <w:lang w:val="en-GB"/>
              </w:rPr>
            </w:pPr>
            <w:r>
              <w:rPr>
                <w:rFonts w:ascii="Cambria" w:hAnsi="Cambria"/>
                <w:sz w:val="20"/>
                <w:szCs w:val="20"/>
                <w:lang w:val="en-GB"/>
              </w:rPr>
              <w:t xml:space="preserve">Ivan </w:t>
            </w:r>
            <w:proofErr w:type="spellStart"/>
            <w:r>
              <w:rPr>
                <w:rFonts w:ascii="Cambria" w:hAnsi="Cambria"/>
                <w:sz w:val="20"/>
                <w:szCs w:val="20"/>
                <w:lang w:val="en-GB"/>
              </w:rPr>
              <w:t>Zubac</w:t>
            </w:r>
            <w:proofErr w:type="spellEnd"/>
          </w:p>
        </w:tc>
      </w:tr>
    </w:tbl>
    <w:p w:rsidR="00D41A05" w:rsidRDefault="00D41A05"/>
    <w:sectPr w:rsidR="00D41A05" w:rsidSect="00BA034B">
      <w:headerReference w:type="default" r:id="rId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F39" w:rsidRDefault="00784F39" w:rsidP="00D41A05">
      <w:r>
        <w:separator/>
      </w:r>
    </w:p>
  </w:endnote>
  <w:endnote w:type="continuationSeparator" w:id="0">
    <w:p w:rsidR="00784F39" w:rsidRDefault="00784F39" w:rsidP="00D4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F39" w:rsidRDefault="00784F39" w:rsidP="00D41A05">
      <w:r>
        <w:separator/>
      </w:r>
    </w:p>
  </w:footnote>
  <w:footnote w:type="continuationSeparator" w:id="0">
    <w:p w:rsidR="00784F39" w:rsidRDefault="00784F39" w:rsidP="00D4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A05" w:rsidRDefault="00D41A05">
    <w:pPr>
      <w:pStyle w:val="Zaglavlje"/>
    </w:pPr>
    <w:r>
      <w:rPr>
        <w:noProof/>
      </w:rPr>
      <w:drawing>
        <wp:inline distT="0" distB="0" distL="0" distR="0" wp14:anchorId="198FE84D" wp14:editId="2624BD25">
          <wp:extent cx="5760085" cy="752475"/>
          <wp:effectExtent l="0" t="0" r="0" b="9525"/>
          <wp:docPr id="5" name="Slika 5"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5" name="Slika 5" descr="http://ec.europa.eu/programmes/erasmus-plus/images/banners/ec-banner-erasmus_en.gif"/>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7"/>
    <w:rsid w:val="0004029D"/>
    <w:rsid w:val="001842E7"/>
    <w:rsid w:val="0038250D"/>
    <w:rsid w:val="006C71A1"/>
    <w:rsid w:val="007454C4"/>
    <w:rsid w:val="00784F39"/>
    <w:rsid w:val="0098404A"/>
    <w:rsid w:val="00A82B70"/>
    <w:rsid w:val="00BA034B"/>
    <w:rsid w:val="00D20068"/>
    <w:rsid w:val="00D41A05"/>
    <w:rsid w:val="00F101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5A42"/>
  <w15:chartTrackingRefBased/>
  <w15:docId w15:val="{A21AA1E2-15A7-4C58-85A3-EC6379D1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A05"/>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A82B70"/>
    <w:rPr>
      <w:b/>
      <w:bCs/>
    </w:rPr>
  </w:style>
  <w:style w:type="paragraph" w:styleId="Zaglavlje">
    <w:name w:val="header"/>
    <w:basedOn w:val="Normal"/>
    <w:link w:val="ZaglavljeChar"/>
    <w:uiPriority w:val="99"/>
    <w:unhideWhenUsed/>
    <w:rsid w:val="00D41A05"/>
    <w:pPr>
      <w:tabs>
        <w:tab w:val="center" w:pos="4536"/>
        <w:tab w:val="right" w:pos="9072"/>
      </w:tabs>
    </w:pPr>
  </w:style>
  <w:style w:type="character" w:customStyle="1" w:styleId="ZaglavljeChar">
    <w:name w:val="Zaglavlje Char"/>
    <w:basedOn w:val="Zadanifontodlomka"/>
    <w:link w:val="Zaglavlje"/>
    <w:uiPriority w:val="99"/>
    <w:rsid w:val="00D41A05"/>
    <w:rPr>
      <w:rFonts w:ascii="Calibri" w:eastAsia="Calibri" w:hAnsi="Calibri" w:cs="Times New Roman"/>
    </w:rPr>
  </w:style>
  <w:style w:type="paragraph" w:styleId="Podnoje">
    <w:name w:val="footer"/>
    <w:basedOn w:val="Normal"/>
    <w:link w:val="PodnojeChar"/>
    <w:uiPriority w:val="99"/>
    <w:unhideWhenUsed/>
    <w:rsid w:val="00D41A05"/>
    <w:pPr>
      <w:tabs>
        <w:tab w:val="center" w:pos="4536"/>
        <w:tab w:val="right" w:pos="9072"/>
      </w:tabs>
    </w:pPr>
  </w:style>
  <w:style w:type="character" w:customStyle="1" w:styleId="PodnojeChar">
    <w:name w:val="Podnožje Char"/>
    <w:basedOn w:val="Zadanifontodlomka"/>
    <w:link w:val="Podnoje"/>
    <w:uiPriority w:val="99"/>
    <w:rsid w:val="00D41A05"/>
    <w:rPr>
      <w:rFonts w:ascii="Calibri" w:eastAsia="Calibri" w:hAnsi="Calibri" w:cs="Times New Roman"/>
    </w:rPr>
  </w:style>
  <w:style w:type="paragraph" w:styleId="StandardWeb">
    <w:name w:val="Normal (Web)"/>
    <w:basedOn w:val="Normal"/>
    <w:semiHidden/>
    <w:unhideWhenUsed/>
    <w:rsid w:val="00F101C4"/>
    <w:pPr>
      <w:spacing w:before="100" w:beforeAutospacing="1" w:after="100" w:afterAutospacing="1"/>
    </w:pPr>
    <w:rPr>
      <w:rFonts w:ascii="Tahoma" w:eastAsia="Times New Roman" w:hAnsi="Tahoma" w:cs="Tahoma"/>
      <w:color w:val="000000"/>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507909">
      <w:bodyDiv w:val="1"/>
      <w:marLeft w:val="0"/>
      <w:marRight w:val="0"/>
      <w:marTop w:val="0"/>
      <w:marBottom w:val="0"/>
      <w:divBdr>
        <w:top w:val="none" w:sz="0" w:space="0" w:color="auto"/>
        <w:left w:val="none" w:sz="0" w:space="0" w:color="auto"/>
        <w:bottom w:val="none" w:sz="0" w:space="0" w:color="auto"/>
        <w:right w:val="none" w:sz="0" w:space="0" w:color="auto"/>
      </w:divBdr>
    </w:div>
    <w:div w:id="19330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1185</Characters>
  <Application>Microsoft Office Word</Application>
  <DocSecurity>0</DocSecurity>
  <Lines>9</Lines>
  <Paragraphs>2</Paragraphs>
  <ScaleCrop>false</ScaleCrop>
  <Company>KBF Đakovo</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Antonija Pranjković</cp:lastModifiedBy>
  <cp:revision>7</cp:revision>
  <dcterms:created xsi:type="dcterms:W3CDTF">2017-06-01T12:10:00Z</dcterms:created>
  <dcterms:modified xsi:type="dcterms:W3CDTF">2022-03-29T08:06:00Z</dcterms:modified>
</cp:coreProperties>
</file>