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3B" w:rsidRPr="00624C16" w:rsidRDefault="00F471E7" w:rsidP="00A564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A564FA">
        <w:rPr>
          <w:rFonts w:ascii="Times New Roman" w:hAnsi="Times New Roman" w:cs="Times New Roman"/>
          <w:b/>
          <w:sz w:val="24"/>
          <w:szCs w:val="24"/>
        </w:rPr>
        <w:t xml:space="preserve">POLUGODIŠNJEG IZVJEŠTAJA O IZVRŠENJU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555014">
        <w:rPr>
          <w:rFonts w:ascii="Times New Roman" w:hAnsi="Times New Roman" w:cs="Times New Roman"/>
          <w:b/>
          <w:sz w:val="24"/>
          <w:szCs w:val="24"/>
        </w:rPr>
        <w:t>ZA 2025- rektorat i odjeli Sveučilišta</w:t>
      </w:r>
    </w:p>
    <w:p w:rsidR="002A2B13" w:rsidRPr="00F33276" w:rsidRDefault="002A2B13" w:rsidP="002A2B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33276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483100" w:rsidRDefault="0048310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A2B13" w:rsidRDefault="00A564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Prihodi i primici ostvareni u razdoblju od 1.- 6.2024. godine iznosili su 6.395.946,88 eura, planirani prihodi za 2025. godinu iznose 10.982.174,00 eura. Ostvareni prihodi </w:t>
      </w:r>
      <w:r w:rsidR="003925F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od 1.1.2025. godine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zaključno s 30.06.2025. godine iznose 6.695.485,03 eura. Najveći ostvareni prihodi bilježe se na šifri 67- Prihodi iz proračuna i iznose 4.747.419,32 eura (plaće i materijalna prava zaposlenih) te na šifri 639- Prijenosi između proračunskih korisnika 1.222.847,20 eura (uplata Agencije za mobilnost i programe EU).</w:t>
      </w:r>
    </w:p>
    <w:p w:rsidR="00170CCD" w:rsidRDefault="00170CCD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Šifra </w:t>
      </w:r>
      <w:r w:rsidR="003925F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65- </w:t>
      </w:r>
      <w:r w:rsidR="003925FA" w:rsidRPr="003925F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Prihodi od upravnih i administrativnih pristojbi, pristojbi po posebnim propisima i naknada</w:t>
      </w:r>
      <w:r w:rsidR="003925F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koju čine prihodi od upisnina, školarina, diploma te prihodi za posebne namjene- Sveučilišni fond za razdoblje od 1.-6.2025. godine ostvarila je prihod od 425.596,01 euro.</w:t>
      </w:r>
    </w:p>
    <w:p w:rsidR="003925FA" w:rsidRDefault="003925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Prihodi od prodaje nefinancijske imovine u odnosu na prethodno razdoblje iznose 0,00 eura. </w:t>
      </w:r>
    </w:p>
    <w:p w:rsidR="003925FA" w:rsidRDefault="003925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3925FA" w:rsidRDefault="003925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  <w:r w:rsidRPr="003925FA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RASHODI I IZDACI</w:t>
      </w:r>
    </w:p>
    <w:p w:rsidR="003925FA" w:rsidRDefault="003925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</w:p>
    <w:p w:rsidR="003925FA" w:rsidRDefault="003925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3925F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Ukupni rashodi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za razdoblje od 1.-6.2025. godine iznose 7.422.014,99 eura te u odnosu na jednako razdoblje prethodne godine manji su za 422.116,37 eura. Najveći rashodi bilježe se na šifri 31- Rashodi za zaposlene u iznosu od 4.636.515,27 eura i predstavljaju plaće te materijalne rashode za zaposlenike.</w:t>
      </w:r>
    </w:p>
    <w:p w:rsidR="00250067" w:rsidRDefault="003925FA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Šifra 36- Pomoći </w:t>
      </w:r>
      <w:r w:rsidRPr="003925F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dane u inozemstvo i unutar općeg proračuna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od 831.045,59 eura čine prijenosi sastavnicama za programsko financiranje te prijenosi u sklopu ERASMUS+ programa Europske unije. </w:t>
      </w:r>
    </w:p>
    <w:p w:rsidR="003925FA" w:rsidRDefault="00250067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Šifra 37-</w:t>
      </w:r>
      <w:r w:rsidRPr="0025006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Naknade građanima i kućanstvima na temelju osiguranja i druge naknade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ostvaruje rashod od 589.911,72 eura što čine prijenosi u sklopu ERASMUS+ programa (studenti pojedinci) te isplate stipendija Sveučilišta. </w:t>
      </w:r>
    </w:p>
    <w:p w:rsidR="00250067" w:rsidRDefault="00250067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 za nabavu nefinancijske imovine (šifra 4) ostvarila je veće rashode u odnosu na jednako razdoblje prošle godine i iznose 138.226,32 eura. Najviše ih čine rashodi za postrojenja i opremu, odnosno nabavu medicinske i laboratorijske opreme u iznosu od 92.667,50 eura.</w:t>
      </w:r>
    </w:p>
    <w:p w:rsidR="00250067" w:rsidRPr="003925FA" w:rsidRDefault="00250067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Šifru 43- </w:t>
      </w:r>
      <w:r w:rsidRPr="0025006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 za nabavu plemenitih metala i ostalih pohranjenih vrijednosti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od 11.187,50 eura čini nabava lanaca za upravu Sveučilišta.</w:t>
      </w:r>
    </w:p>
    <w:p w:rsidR="004717B9" w:rsidRDefault="004717B9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585B63" w:rsidRPr="00585B63" w:rsidRDefault="00585B63" w:rsidP="006159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B63">
        <w:rPr>
          <w:rFonts w:ascii="Times New Roman" w:hAnsi="Times New Roman" w:cs="Times New Roman"/>
          <w:b/>
          <w:sz w:val="24"/>
          <w:szCs w:val="24"/>
        </w:rPr>
        <w:lastRenderedPageBreak/>
        <w:t>PRIJENOSI SREDSTAVA</w:t>
      </w:r>
      <w:r w:rsidR="00047FB4">
        <w:rPr>
          <w:rFonts w:ascii="Times New Roman" w:hAnsi="Times New Roman" w:cs="Times New Roman"/>
          <w:b/>
          <w:sz w:val="24"/>
          <w:szCs w:val="24"/>
        </w:rPr>
        <w:t xml:space="preserve"> IZ PRETHODNE GODINE </w:t>
      </w:r>
    </w:p>
    <w:p w:rsidR="00585B63" w:rsidRPr="00047FB4" w:rsidRDefault="00585B63" w:rsidP="00615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63">
        <w:rPr>
          <w:rFonts w:ascii="Times New Roman" w:hAnsi="Times New Roman" w:cs="Times New Roman"/>
          <w:sz w:val="24"/>
          <w:szCs w:val="24"/>
        </w:rPr>
        <w:t xml:space="preserve">Rektorat i </w:t>
      </w:r>
      <w:r>
        <w:rPr>
          <w:rFonts w:ascii="Times New Roman" w:hAnsi="Times New Roman" w:cs="Times New Roman"/>
          <w:sz w:val="24"/>
          <w:szCs w:val="24"/>
        </w:rPr>
        <w:t xml:space="preserve">Odjeli Sveučilišta u financijskom planu za razdoblje 2025.-2027.godinu za 2025. godinu planirali su prijenos sredstava </w:t>
      </w:r>
      <w:r w:rsidR="00047FB4">
        <w:rPr>
          <w:rFonts w:ascii="Times New Roman" w:hAnsi="Times New Roman" w:cs="Times New Roman"/>
          <w:sz w:val="24"/>
          <w:szCs w:val="24"/>
        </w:rPr>
        <w:t xml:space="preserve">iz prethodne godine u iznosu od: 2.864.947,00 eura a prijenos sredstava u sljedeće razdoblje -2.377.808,00 eura. Sukladno polugodišnjem izvršenju financijskog plana (1.1.2025.-30.06.2025.) prijenos sredstava iz prethodne godine iznosi 5.086.401,33 eura (uvećanje nastalo uslijed doznačenih sredstava za programsko financiranje) a prijenos sredstava u sljedeće razdoblje iznosi   -4.359.871,37 eura (uvećano zbog </w:t>
      </w:r>
      <w:r w:rsidR="00047FB4">
        <w:rPr>
          <w:rFonts w:ascii="Times New Roman" w:hAnsi="Times New Roman" w:cs="Times New Roman"/>
          <w:sz w:val="24"/>
          <w:szCs w:val="24"/>
        </w:rPr>
        <w:t>uplate Agencije za mobilnost i programe EU</w:t>
      </w:r>
      <w:r w:rsidR="00047FB4">
        <w:rPr>
          <w:rFonts w:ascii="Times New Roman" w:hAnsi="Times New Roman" w:cs="Times New Roman"/>
          <w:sz w:val="24"/>
          <w:szCs w:val="24"/>
        </w:rPr>
        <w:t>).</w:t>
      </w:r>
    </w:p>
    <w:p w:rsidR="0061597D" w:rsidRPr="00585B63" w:rsidRDefault="00585B63" w:rsidP="00615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B63">
        <w:rPr>
          <w:rFonts w:ascii="Times New Roman" w:hAnsi="Times New Roman" w:cs="Times New Roman"/>
          <w:sz w:val="24"/>
          <w:szCs w:val="24"/>
          <w:u w:val="single"/>
        </w:rPr>
        <w:t>Odjel za biologiju</w:t>
      </w:r>
    </w:p>
    <w:p w:rsidR="0061597D" w:rsidRPr="006B4701" w:rsidRDefault="0061597D" w:rsidP="006159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701">
        <w:rPr>
          <w:rFonts w:ascii="Times New Roman" w:hAnsi="Times New Roman" w:cs="Times New Roman"/>
          <w:b/>
          <w:sz w:val="24"/>
          <w:szCs w:val="24"/>
        </w:rPr>
        <w:t>STANJE NOVČANIH SREDSTAVA NA RAČUNIMA NA POČETKU PRORAČUNSKE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I NA DAN 30. LIPNJA 2025. GODINE</w:t>
      </w:r>
    </w:p>
    <w:p w:rsidR="00C34B74" w:rsidRPr="00585B63" w:rsidRDefault="0061597D" w:rsidP="00615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701">
        <w:rPr>
          <w:rFonts w:ascii="Times New Roman" w:hAnsi="Times New Roman" w:cs="Times New Roman"/>
          <w:sz w:val="24"/>
          <w:szCs w:val="24"/>
        </w:rPr>
        <w:t xml:space="preserve">Stanje novčanih sredstava na računu Odjela za biologiju na početku proračunske godine iznosi </w:t>
      </w:r>
      <w:r>
        <w:rPr>
          <w:rFonts w:ascii="Times New Roman" w:hAnsi="Times New Roman" w:cs="Times New Roman"/>
          <w:sz w:val="24"/>
          <w:szCs w:val="24"/>
        </w:rPr>
        <w:t>581.201,19</w:t>
      </w:r>
      <w:r w:rsidRPr="00AC6C6D">
        <w:rPr>
          <w:rFonts w:ascii="Times New Roman" w:hAnsi="Times New Roman" w:cs="Times New Roman"/>
          <w:sz w:val="24"/>
          <w:szCs w:val="24"/>
        </w:rPr>
        <w:t xml:space="preserve"> </w:t>
      </w:r>
      <w:r w:rsidRPr="006B4701">
        <w:rPr>
          <w:rFonts w:ascii="Times New Roman" w:hAnsi="Times New Roman" w:cs="Times New Roman"/>
          <w:sz w:val="24"/>
          <w:szCs w:val="24"/>
        </w:rPr>
        <w:t xml:space="preserve">eura, dok je stanje u blagajni </w:t>
      </w:r>
      <w:r>
        <w:rPr>
          <w:rFonts w:ascii="Times New Roman" w:hAnsi="Times New Roman" w:cs="Times New Roman"/>
          <w:sz w:val="24"/>
          <w:szCs w:val="24"/>
        </w:rPr>
        <w:t>247,03</w:t>
      </w:r>
      <w:r w:rsidRPr="006B4701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. Na dan 30. lipnja 2025. godine stanje sredstava</w:t>
      </w:r>
      <w:r w:rsidRPr="006B4701">
        <w:rPr>
          <w:rFonts w:ascii="Times New Roman" w:hAnsi="Times New Roman" w:cs="Times New Roman"/>
          <w:sz w:val="24"/>
          <w:szCs w:val="24"/>
        </w:rPr>
        <w:t xml:space="preserve"> na računu</w:t>
      </w:r>
      <w:r>
        <w:rPr>
          <w:rFonts w:ascii="Times New Roman" w:hAnsi="Times New Roman" w:cs="Times New Roman"/>
          <w:sz w:val="24"/>
          <w:szCs w:val="24"/>
        </w:rPr>
        <w:t xml:space="preserve"> iznosi</w:t>
      </w:r>
      <w:r w:rsidRPr="006B4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551.277,73</w:t>
      </w:r>
      <w:r w:rsidRPr="006B4701">
        <w:rPr>
          <w:rFonts w:ascii="Times New Roman" w:hAnsi="Times New Roman" w:cs="Times New Roman"/>
          <w:sz w:val="24"/>
          <w:szCs w:val="24"/>
        </w:rPr>
        <w:t xml:space="preserve"> eura dok je stanje u blagajni </w:t>
      </w:r>
      <w:r>
        <w:rPr>
          <w:rFonts w:ascii="Times New Roman" w:hAnsi="Times New Roman" w:cs="Times New Roman"/>
          <w:sz w:val="24"/>
          <w:szCs w:val="24"/>
        </w:rPr>
        <w:t>128,43</w:t>
      </w:r>
      <w:r w:rsidRPr="006B4701">
        <w:rPr>
          <w:rFonts w:ascii="Times New Roman" w:hAnsi="Times New Roman" w:cs="Times New Roman"/>
          <w:sz w:val="24"/>
          <w:szCs w:val="24"/>
        </w:rPr>
        <w:t xml:space="preserve"> eura.  </w:t>
      </w:r>
    </w:p>
    <w:p w:rsidR="00C34B74" w:rsidRPr="00585B63" w:rsidRDefault="00585B63" w:rsidP="00C34B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585B63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Odjel za fiziku</w:t>
      </w:r>
    </w:p>
    <w:p w:rsidR="00C34B74" w:rsidRDefault="00C34B74" w:rsidP="00C34B7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  <w:r w:rsidRPr="00A30B42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STANJE NA RAČU</w:t>
      </w:r>
      <w:r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NU NA POČETKU I NA KRAJU PRORAČU</w:t>
      </w:r>
      <w:r w:rsidRPr="00A30B42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NSKE GODINE</w:t>
      </w:r>
    </w:p>
    <w:p w:rsidR="00C34B74" w:rsidRDefault="00C34B74" w:rsidP="00C34B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Na početku proračunske godine, 01.01.2025., Odjel za Fiziku na računu kod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Addiko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bank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d.d. ima stanje od 189.282,70 eura, a u blagajni je stanje 169,96 eura što čini ukupni iznos od 189.452,66 euro. Na kraju izvještajnog razdoblja, 30.06.2025. god., Odjel  na računu kod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Addiko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bank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d.d. ima stanje 186.181,17 eura dok u blagajni ima stanje od 169,96 eura što ukupno na kraju izvještajnog razdoblje čini raspoloživi iznos od 186.351,13 eura.</w:t>
      </w:r>
    </w:p>
    <w:p w:rsidR="002E6084" w:rsidRPr="00585B63" w:rsidRDefault="00585B63" w:rsidP="00C34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B63">
        <w:rPr>
          <w:rFonts w:ascii="Times New Roman" w:hAnsi="Times New Roman" w:cs="Times New Roman"/>
          <w:sz w:val="24"/>
          <w:szCs w:val="24"/>
          <w:u w:val="single"/>
        </w:rPr>
        <w:t>Odjel za kemiju</w:t>
      </w:r>
    </w:p>
    <w:p w:rsidR="00C34B74" w:rsidRDefault="00C34B74" w:rsidP="00C34B7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  <w:r w:rsidRPr="00A30B42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STANJE NA RAČU</w:t>
      </w:r>
      <w:r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NU NA POČETKU I NA KRAJU PRORAČU</w:t>
      </w:r>
      <w:r w:rsidRPr="00A30B42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NSKE GODINE</w:t>
      </w:r>
    </w:p>
    <w:p w:rsidR="007341BC" w:rsidRDefault="00C34B74" w:rsidP="00734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Na početku proračunske godine, 01.01.2025., Odjel za kemiju na računu kod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Addiko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bank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d.d. ima stanje od 217.124,25 eura, a u blagajni je stanje 323,26 eura što čini ukupni iznos od 217.447,51 euro. Na kraju izvještajnog razdoblja, 30.06.2025. god., Odjel  na računu kod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Addiko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bank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d.d. ima stanje 246.878,42 eura dok u blagajni ima stanje od 48,78 eura što ukupno na kraju izvještajnog razdoblje čini raspoloživi iznos od 246.927,20 eura.</w:t>
      </w:r>
    </w:p>
    <w:p w:rsidR="002E6084" w:rsidRPr="00585B63" w:rsidRDefault="00585B63" w:rsidP="002E6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B63">
        <w:rPr>
          <w:rFonts w:ascii="Times New Roman" w:hAnsi="Times New Roman" w:cs="Times New Roman"/>
          <w:sz w:val="24"/>
          <w:szCs w:val="24"/>
          <w:u w:val="single"/>
        </w:rPr>
        <w:t>Rektorat</w:t>
      </w:r>
    </w:p>
    <w:p w:rsidR="002E6084" w:rsidRDefault="002E6084" w:rsidP="002E608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  <w:r w:rsidRPr="00A30B42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STANJE NA RAČU</w:t>
      </w:r>
      <w:r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NU NA POČETKU I NA KRAJU PRORAČU</w:t>
      </w:r>
      <w:r w:rsidRPr="00A30B42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NSKE GODINE</w:t>
      </w:r>
    </w:p>
    <w:p w:rsidR="002E6084" w:rsidRDefault="002E6084" w:rsidP="002E608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Na početku proračunske godine, 01.01.2025.,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Rektorat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na računu kod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Addiko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bank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d.d. ima stanje od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4.425.210,22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Na kraju izvještajnog razdoblja, 30.06.2025. god.,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Rektorat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 na računu kod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Addiko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bank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d.d. ima stanje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4.169.050,57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</w:t>
      </w:r>
    </w:p>
    <w:p w:rsidR="00047FB4" w:rsidRPr="00A30B42" w:rsidRDefault="00047FB4" w:rsidP="002E6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5EE" w:rsidRDefault="00DF45EE" w:rsidP="007359D8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</w:rPr>
        <w:t xml:space="preserve">       </w:t>
      </w:r>
      <w:r w:rsidR="007359D8">
        <w:rPr>
          <w:rFonts w:ascii="Times New Roman" w:hAnsi="Times New Roman" w:cs="Times New Roman"/>
          <w:b/>
          <w:sz w:val="24"/>
          <w:szCs w:val="24"/>
        </w:rPr>
        <w:t>Čelnik ustanove:</w:t>
      </w:r>
    </w:p>
    <w:p w:rsidR="007359D8" w:rsidRPr="00DF45EE" w:rsidRDefault="007359D8" w:rsidP="007359D8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sectPr w:rsidR="007359D8" w:rsidRPr="00DF45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2AC" w:rsidRDefault="00B032AC" w:rsidP="00994B70">
      <w:pPr>
        <w:spacing w:after="0" w:line="240" w:lineRule="auto"/>
      </w:pPr>
      <w:r>
        <w:separator/>
      </w:r>
    </w:p>
  </w:endnote>
  <w:endnote w:type="continuationSeparator" w:id="0">
    <w:p w:rsidR="00B032AC" w:rsidRDefault="00B032AC" w:rsidP="0099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22338"/>
      <w:docPartObj>
        <w:docPartGallery w:val="Page Numbers (Bottom of Page)"/>
        <w:docPartUnique/>
      </w:docPartObj>
    </w:sdtPr>
    <w:sdtEndPr/>
    <w:sdtContent>
      <w:p w:rsidR="00994B70" w:rsidRDefault="00994B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4B70" w:rsidRDefault="00994B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2AC" w:rsidRDefault="00B032AC" w:rsidP="00994B70">
      <w:pPr>
        <w:spacing w:after="0" w:line="240" w:lineRule="auto"/>
      </w:pPr>
      <w:r>
        <w:separator/>
      </w:r>
    </w:p>
  </w:footnote>
  <w:footnote w:type="continuationSeparator" w:id="0">
    <w:p w:rsidR="00B032AC" w:rsidRDefault="00B032AC" w:rsidP="0099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147"/>
    <w:multiLevelType w:val="hybridMultilevel"/>
    <w:tmpl w:val="3DA0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64C9D"/>
    <w:multiLevelType w:val="hybridMultilevel"/>
    <w:tmpl w:val="6832A5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E37B2"/>
    <w:multiLevelType w:val="hybridMultilevel"/>
    <w:tmpl w:val="A9804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502B3"/>
    <w:multiLevelType w:val="hybridMultilevel"/>
    <w:tmpl w:val="7326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E3DA4"/>
    <w:multiLevelType w:val="hybridMultilevel"/>
    <w:tmpl w:val="F2646A24"/>
    <w:lvl w:ilvl="0" w:tplc="48902652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47FB4"/>
    <w:rsid w:val="00050C79"/>
    <w:rsid w:val="0009064C"/>
    <w:rsid w:val="000A1A2E"/>
    <w:rsid w:val="000C466F"/>
    <w:rsid w:val="000D0A1C"/>
    <w:rsid w:val="000D55A1"/>
    <w:rsid w:val="000F4203"/>
    <w:rsid w:val="00143083"/>
    <w:rsid w:val="0015413C"/>
    <w:rsid w:val="001578FC"/>
    <w:rsid w:val="00170CCD"/>
    <w:rsid w:val="00186B7B"/>
    <w:rsid w:val="00191B99"/>
    <w:rsid w:val="0024357C"/>
    <w:rsid w:val="00245B1D"/>
    <w:rsid w:val="00250067"/>
    <w:rsid w:val="002579E0"/>
    <w:rsid w:val="00280C31"/>
    <w:rsid w:val="0029735D"/>
    <w:rsid w:val="00297F7A"/>
    <w:rsid w:val="002A2B13"/>
    <w:rsid w:val="002E6084"/>
    <w:rsid w:val="002F2D7A"/>
    <w:rsid w:val="002F5870"/>
    <w:rsid w:val="00307924"/>
    <w:rsid w:val="003311CD"/>
    <w:rsid w:val="00333BCE"/>
    <w:rsid w:val="0035780F"/>
    <w:rsid w:val="00370037"/>
    <w:rsid w:val="00386FD9"/>
    <w:rsid w:val="003925FA"/>
    <w:rsid w:val="003A22DB"/>
    <w:rsid w:val="003F1E35"/>
    <w:rsid w:val="00407290"/>
    <w:rsid w:val="00466878"/>
    <w:rsid w:val="004717B9"/>
    <w:rsid w:val="00483100"/>
    <w:rsid w:val="004B4187"/>
    <w:rsid w:val="004B489F"/>
    <w:rsid w:val="0052349C"/>
    <w:rsid w:val="00555014"/>
    <w:rsid w:val="005722A3"/>
    <w:rsid w:val="00585B63"/>
    <w:rsid w:val="005C1418"/>
    <w:rsid w:val="005F2651"/>
    <w:rsid w:val="00601BFB"/>
    <w:rsid w:val="00605080"/>
    <w:rsid w:val="0061597D"/>
    <w:rsid w:val="006160C0"/>
    <w:rsid w:val="00624C16"/>
    <w:rsid w:val="00627AC9"/>
    <w:rsid w:val="006C6AEF"/>
    <w:rsid w:val="0072334A"/>
    <w:rsid w:val="007341BC"/>
    <w:rsid w:val="007359D8"/>
    <w:rsid w:val="00770F4C"/>
    <w:rsid w:val="00793098"/>
    <w:rsid w:val="007A21DA"/>
    <w:rsid w:val="007A7834"/>
    <w:rsid w:val="00886D68"/>
    <w:rsid w:val="00896F12"/>
    <w:rsid w:val="0092655A"/>
    <w:rsid w:val="0094274B"/>
    <w:rsid w:val="00975BA7"/>
    <w:rsid w:val="00983932"/>
    <w:rsid w:val="009874A2"/>
    <w:rsid w:val="00994B70"/>
    <w:rsid w:val="009D7CA0"/>
    <w:rsid w:val="00A564FA"/>
    <w:rsid w:val="00AA4C4F"/>
    <w:rsid w:val="00AB3AA2"/>
    <w:rsid w:val="00AC288F"/>
    <w:rsid w:val="00AE2812"/>
    <w:rsid w:val="00AF4C86"/>
    <w:rsid w:val="00B032AC"/>
    <w:rsid w:val="00B36C26"/>
    <w:rsid w:val="00B7793B"/>
    <w:rsid w:val="00BA3018"/>
    <w:rsid w:val="00BF44C6"/>
    <w:rsid w:val="00C34B74"/>
    <w:rsid w:val="00C46B39"/>
    <w:rsid w:val="00C64B52"/>
    <w:rsid w:val="00CA12E2"/>
    <w:rsid w:val="00D019AB"/>
    <w:rsid w:val="00D45152"/>
    <w:rsid w:val="00D57EAF"/>
    <w:rsid w:val="00D75C9D"/>
    <w:rsid w:val="00D87899"/>
    <w:rsid w:val="00D91F25"/>
    <w:rsid w:val="00DA0FFD"/>
    <w:rsid w:val="00DD2586"/>
    <w:rsid w:val="00DF45EE"/>
    <w:rsid w:val="00DF778D"/>
    <w:rsid w:val="00E072FC"/>
    <w:rsid w:val="00E34EA9"/>
    <w:rsid w:val="00E74D93"/>
    <w:rsid w:val="00F36E46"/>
    <w:rsid w:val="00F471E7"/>
    <w:rsid w:val="00F70550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8C1F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A2B13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2F2D7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B70"/>
  </w:style>
  <w:style w:type="paragraph" w:styleId="Podnoje">
    <w:name w:val="footer"/>
    <w:basedOn w:val="Normal"/>
    <w:link w:val="Podno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9</cp:revision>
  <dcterms:created xsi:type="dcterms:W3CDTF">2024-11-05T13:47:00Z</dcterms:created>
  <dcterms:modified xsi:type="dcterms:W3CDTF">2025-07-25T07:51:00Z</dcterms:modified>
</cp:coreProperties>
</file>