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8B21" w14:textId="705ABF31" w:rsidR="00B7793B" w:rsidRPr="00624C16" w:rsidRDefault="00F471E7" w:rsidP="00555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B27C3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555014"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58333F">
        <w:rPr>
          <w:rFonts w:ascii="Times New Roman" w:hAnsi="Times New Roman" w:cs="Times New Roman"/>
          <w:b/>
          <w:sz w:val="24"/>
          <w:szCs w:val="24"/>
        </w:rPr>
        <w:t>6</w:t>
      </w:r>
      <w:r w:rsidR="00555014">
        <w:rPr>
          <w:rFonts w:ascii="Times New Roman" w:hAnsi="Times New Roman" w:cs="Times New Roman"/>
          <w:b/>
          <w:sz w:val="24"/>
          <w:szCs w:val="24"/>
        </w:rPr>
        <w:t>.-202</w:t>
      </w:r>
      <w:r w:rsidR="0058333F">
        <w:rPr>
          <w:rFonts w:ascii="Times New Roman" w:hAnsi="Times New Roman" w:cs="Times New Roman"/>
          <w:b/>
          <w:sz w:val="24"/>
          <w:szCs w:val="24"/>
        </w:rPr>
        <w:t>8</w:t>
      </w:r>
      <w:r w:rsidR="00555014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345F8D">
        <w:rPr>
          <w:rFonts w:ascii="Times New Roman" w:hAnsi="Times New Roman" w:cs="Times New Roman"/>
          <w:b/>
          <w:sz w:val="24"/>
          <w:szCs w:val="24"/>
        </w:rPr>
        <w:t>R</w:t>
      </w:r>
      <w:r w:rsidR="00555014">
        <w:rPr>
          <w:rFonts w:ascii="Times New Roman" w:hAnsi="Times New Roman" w:cs="Times New Roman"/>
          <w:b/>
          <w:sz w:val="24"/>
          <w:szCs w:val="24"/>
        </w:rPr>
        <w:t xml:space="preserve">ektorat i </w:t>
      </w:r>
      <w:r w:rsidR="00345F8D">
        <w:rPr>
          <w:rFonts w:ascii="Times New Roman" w:hAnsi="Times New Roman" w:cs="Times New Roman"/>
          <w:b/>
          <w:sz w:val="24"/>
          <w:szCs w:val="24"/>
        </w:rPr>
        <w:t>O</w:t>
      </w:r>
      <w:r w:rsidR="00555014">
        <w:rPr>
          <w:rFonts w:ascii="Times New Roman" w:hAnsi="Times New Roman" w:cs="Times New Roman"/>
          <w:b/>
          <w:sz w:val="24"/>
          <w:szCs w:val="24"/>
        </w:rPr>
        <w:t>djeli Sveučilišta</w:t>
      </w:r>
    </w:p>
    <w:p w14:paraId="24FE9CD2" w14:textId="0B38AACE" w:rsidR="00345F8D" w:rsidRPr="00345F8D" w:rsidRDefault="00345F8D" w:rsidP="00624C1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Sveučilište je visoko učilište i javna ustanova te ima svojstvo pravne osobe s javnim ovlastima i upisuje se u registar ustanova te u Upisnik visokih učilišta koji vodi ministarstvo nadležno za poslove znanosti i obrazovanja. Osnivač Sveučilišta je Republika Hrvatska, a osnivačka prava nad Sveučilištem u ime Republike Hrvatske obavlja ministarstvo nadležno za poslove znanosti obrazovanja 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mladih 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 skladu sa Zakonom i aktom o osnivanju. Sveučilište u svojem sastavu ima visoka učilišta kao sveučilišne sastavnice s pravnom osobnosti koje su javne ustanove s javnim ovlastima: 14 Fakulteta i Akademiju za umjetnost i kulturu te sveučilišne sastavnice bez pravne osobnosti: sveučilišne odjele (Odjel za biologiju, Odjel za fiziku i Odjel za kemiju), sveučilišni centar te druge pravne osobe (ustanove i trgovačka društva). U skladu s člankom 6. Statuta Sveučilišta Sveučilište obavlja djelatnost visokog obrazovanja, znanstvenu, umjetničku i stručnu djelatnost i to povezivanjem zna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stvenog istraživanja, umjetničkog stvaralaštva studija i nastave razvija znanost, struku i umjetnost, priprema studente za obavljanje profesionalnih djelatnosti na temelju znanstvenih spoznaja i metoda, kao i umjetničkih vrijednosti, obrazuje znanstveni i umjetnički podmladak, sudjeluje u ostvarivanju društvenih interesa studenata te promiče međunarodnu, posebice europsku, suradnju u visokom obrazovanju te znanstvenoj i umjetničkoj djelatnosti. Financiranje Sveučilišta provodi se u skladu sa Zakonom o proračunu („Narodne novine“ 144/21.) i podzakonskim propisima, Statutom Sveučilišta i općim aktima Sveučilišta. Financira se sredstvima iz državnog proračuna kroz programsko financiranje te namjenskim i vlastitim prihodima. Obavljanjem djelatnosti u tržišnim uvjetima Sveučilište ostaje u evidenciji porezne uprave u registru obveznika PDV-a i u 2025. godini. Prijedlog financijskog plana 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izrađen je na temelju prijedloga programskog ugovora i 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odnos</w:t>
      </w:r>
      <w:r w:rsidR="003A236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</w:t>
      </w: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se na Rektorat, Odjel za biologiju, Odjel za kemiju i Odjel za fiziku Sveučilišta Josipa Jurja Strossmayera u Osijeku. </w:t>
      </w:r>
    </w:p>
    <w:p w14:paraId="35FE742D" w14:textId="7DBBB43E" w:rsidR="00345F8D" w:rsidRPr="00345F8D" w:rsidRDefault="00345F8D" w:rsidP="00624C1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Od 01. listopada 2025. čelnik Sveučilišta je prof. dr. sc. Drago </w:t>
      </w:r>
      <w:proofErr w:type="spellStart"/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Šubarić</w:t>
      </w:r>
      <w:proofErr w:type="spellEnd"/>
      <w:r w:rsidRPr="00345F8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14:paraId="3255E2BA" w14:textId="4C88C51B" w:rsidR="00F471E7" w:rsidRDefault="00345F8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F471E7"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3E7CF5E" w14:textId="0C230454" w:rsidR="002A2B13" w:rsidRDefault="00EE2BE2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Prijedlogom financijskog 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plan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Sveučilišta u Osijeku za razdoblje 202</w:t>
      </w:r>
      <w:r w:rsidR="0058333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- 202</w:t>
      </w:r>
      <w:r w:rsidR="0058333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planirana su sredstva za redovno poslovanja rektorata i stručnih službi, te odjela Sveučilišta, provođenje  studijskih programa visokog obrazovanja, projekata znanstvenoistraživačke djelatnosti, stručnih projekata za gospodarstvo, te provedbu EU projekata  koje se provode kroz sljedeće aktivnosti:</w:t>
      </w:r>
    </w:p>
    <w:p w14:paraId="0F0AFBCE" w14:textId="77777777" w:rsidR="004717B9" w:rsidRDefault="004717B9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336AB938" w14:textId="4E157D43" w:rsidR="002A2B13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2A2B13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="00F849D8" w:rsidRPr="00F849D8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</w:t>
      </w:r>
      <w:r w:rsidR="00FD2F02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679134</w:t>
      </w:r>
      <w:r w:rsidRPr="00F3327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- </w:t>
      </w:r>
      <w:r w:rsidR="00F849D8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Programsko  financiranje javnih visokih učilišta</w:t>
      </w:r>
    </w:p>
    <w:p w14:paraId="205079B4" w14:textId="77777777"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4A59B87F" w14:textId="6151EAB7" w:rsidR="002A2B13" w:rsidRDefault="00F849D8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Navedena aktivnost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obuhvaća plaće i materijalna prava zaposlenika koja su planirana temeljem Uputa Ministarstva financija i Ministarstva znanosti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obrazovanja i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mladih</w:t>
      </w:r>
      <w:r w:rsidR="001509F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A koja se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ostvaruje preko računa državne riznice. U ovoj aktivnosti planirana su</w:t>
      </w:r>
      <w:r w:rsid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sredstva za studentske programe iz državnog proračuna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naknada za kvotu za nezapošljavanje invalida i sistematske preglede.</w:t>
      </w:r>
      <w:r w:rsidR="002A2B13"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3022B840" w14:textId="606BB95B" w:rsidR="002A2B13" w:rsidRPr="004717B9" w:rsidRDefault="002A2B13" w:rsidP="00F849D8">
      <w:pPr>
        <w:spacing w:line="256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Programskog financiranja javnih visokih učilišta obuhvaća sredstva koja se Sveučilištu u Osijeku uplaćuju temeljem Ugovora o Programskom financiranju. Aktivnost je podijeljena na namjene koje su i definirane samim Ugovorom, a to su financiranje </w:t>
      </w:r>
      <w:r w:rsidR="00F849D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osnovne, razvojne i izvedbene komponente.</w:t>
      </w:r>
    </w:p>
    <w:p w14:paraId="3F032F2A" w14:textId="3C4F972E" w:rsidR="002A2B13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po ovoj aktivnosti </w:t>
      </w:r>
      <w:r w:rsidR="00FF0DC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su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planirani 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sukladno prijedlogu programskog ugovora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koji je usuglašen s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Ministarstvo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znanosti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obrazovanja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mladih.</w:t>
      </w:r>
    </w:p>
    <w:p w14:paraId="783535C5" w14:textId="77777777" w:rsidR="002A2B13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35C57FB6" w14:textId="76C75EF1" w:rsidR="002A2B13" w:rsidRPr="00547FC4" w:rsidRDefault="00547FC4" w:rsidP="00547FC4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U okviru ove aktivnosti sadržana je i nekadašnja aktivnost vježbaonica (</w:t>
      </w:r>
      <w:r w:rsidR="002A2B13" w:rsidRPr="00F3327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 621038 - Program vježbaonica visokih učilišta</w:t>
      </w: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)</w:t>
      </w:r>
    </w:p>
    <w:p w14:paraId="74C135FE" w14:textId="77777777"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176969FF" w14:textId="77777777" w:rsidR="00F35843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vježbaonica visokih učilišta odnosi se na financiranje rada mentora u vježbaonicama. </w:t>
      </w:r>
      <w:r w:rsidR="00E072F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Odjeli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Sveučilišta </w:t>
      </w:r>
      <w:r w:rsidR="00E072F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imaju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laniran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prihod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rashod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za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godinu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</w:p>
    <w:p w14:paraId="3341390D" w14:textId="54573DE4" w:rsidR="002A2B13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 202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</w:t>
      </w:r>
      <w:r w:rsidR="00E072F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6344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sukladno limitu iz pregovora za programske ugovore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Sva navedena sredstva planirana su iz izvora opći prihodi i primici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11). Prihodi po ovoj aktivnosti planirani su u okviru limita koje je odredilo Ministarstvo znanosti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obrazovanja </w:t>
      </w:r>
      <w:r w:rsidR="00547F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mladih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odnosno Sveučilište u Osijeku.</w:t>
      </w:r>
    </w:p>
    <w:p w14:paraId="1F9B1C06" w14:textId="67780AC0" w:rsidR="0016112B" w:rsidRDefault="00547FC4" w:rsidP="0016112B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Također u okviru ove aktivnosti planiran</w:t>
      </w:r>
      <w:r w:rsidR="0016112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 i sredstva za popularizaciju znanosti</w:t>
      </w:r>
      <w:r w:rsidR="0016112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znanstvene skupove i članarine u međunarodnim znanstveno istraživačkim tijelima. </w:t>
      </w:r>
    </w:p>
    <w:p w14:paraId="77FD9EF7" w14:textId="11422C23" w:rsidR="00E072FC" w:rsidRPr="00547FC4" w:rsidRDefault="0016112B" w:rsidP="0066344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Planirani prihodi i rashodi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iznose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10.</w:t>
      </w:r>
      <w:r w:rsidR="002C08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177.868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2027. 10.</w:t>
      </w:r>
      <w:r w:rsidR="002C08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423.611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10.</w:t>
      </w:r>
      <w:r w:rsidR="002C08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592.597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2028. godinu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Sva navedena sredstva planirana su iz izvora opći prihodi i primici (izvor 11). </w:t>
      </w:r>
    </w:p>
    <w:p w14:paraId="1B669295" w14:textId="77777777" w:rsidR="002A2B13" w:rsidRPr="00D87899" w:rsidRDefault="002A2B13" w:rsidP="0035780F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9121E91" w14:textId="5403AF0C" w:rsidR="002A2B13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A </w:t>
      </w:r>
      <w:r w:rsidR="00FD2F02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679135</w:t>
      </w:r>
      <w:r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-  </w:t>
      </w:r>
      <w:r w:rsidR="0032790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Programsko i ostalo financiranje javnih visokih učilišta</w:t>
      </w:r>
    </w:p>
    <w:p w14:paraId="50CFB939" w14:textId="75151AD3" w:rsidR="0032790D" w:rsidRDefault="0032790D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ovoj aktivnosti planirani su sljedeći izvori:</w:t>
      </w:r>
    </w:p>
    <w:p w14:paraId="03E9CDDE" w14:textId="3B8B7266" w:rsidR="0032790D" w:rsidRDefault="0032790D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2620723" w14:textId="7EE266D9" w:rsidR="0032790D" w:rsidRPr="007A21DA" w:rsidRDefault="0032790D" w:rsidP="0032790D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Vlastiti prihodi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31) –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planirani su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prihodi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od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258.345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eura,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270.400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 i za 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278.410 </w:t>
      </w:r>
      <w:r w:rsidRPr="007A21D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eura.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ovom izvoru evidentirani su prihodi i rashodi od tržišne djelatnosti koja se provodi na Sveučilištu</w:t>
      </w:r>
      <w:r w:rsidRPr="007A21D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65B8C4D2" w14:textId="77777777" w:rsidR="0032790D" w:rsidRPr="00A24DAB" w:rsidRDefault="0032790D" w:rsidP="0032790D">
      <w:pPr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7C6396D5" w14:textId="45DCFEC8" w:rsidR="0032790D" w:rsidRPr="00A24DAB" w:rsidRDefault="0032790D" w:rsidP="0032790D">
      <w:pPr>
        <w:numPr>
          <w:ilvl w:val="0"/>
          <w:numId w:val="1"/>
        </w:numPr>
        <w:tabs>
          <w:tab w:val="left" w:pos="7655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Ostali prihodi za posebne namjene (izvor 43) – za 2026.  planirani su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prihodi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od 9</w:t>
      </w:r>
      <w:r w:rsidR="00663443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15.000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</w:t>
      </w:r>
      <w:r w:rsidR="00663443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663443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916.500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za 202</w:t>
      </w:r>
      <w:r w:rsidR="00663443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 </w:t>
      </w:r>
      <w:r w:rsidR="00663443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917.500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navedenom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izvor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 najveći dio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planiranih sredstava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odnosi se na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školarina za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prije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diplomske, diplomske i doktorske studije koji se izvode na odjelima Sveučilišta i Doktorskoj školi kao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te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sredstva Poslovnog fonda Sveučilišta.</w:t>
      </w:r>
    </w:p>
    <w:p w14:paraId="139E74D3" w14:textId="77777777" w:rsidR="0032790D" w:rsidRPr="00A24DAB" w:rsidRDefault="0032790D" w:rsidP="0032790D">
      <w:pPr>
        <w:tabs>
          <w:tab w:val="left" w:pos="7655"/>
        </w:tabs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5085BA7" w14:textId="099CE458" w:rsidR="00663443" w:rsidRPr="00345F8D" w:rsidRDefault="0032790D" w:rsidP="00A31571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Ostale pomoći (izvor 5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 – za 202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planirani su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prihodi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od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213.875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162.060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.000 eura i za 202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132.107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eura. Ovaj izvor ponajviše se odnosi na prihode </w:t>
      </w:r>
      <w:r w:rsidR="00A24DAB"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od Hrvatske zaklade za znanost 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te prihode od ostalih proračunskih korisnika.</w:t>
      </w:r>
    </w:p>
    <w:p w14:paraId="5965B0F8" w14:textId="77777777" w:rsidR="00663443" w:rsidRDefault="00663443" w:rsidP="0032790D">
      <w:pPr>
        <w:spacing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45653EFE" w14:textId="65A0345A" w:rsidR="0032790D" w:rsidRPr="00D87899" w:rsidRDefault="00A31571" w:rsidP="00A24DAB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A </w:t>
      </w:r>
      <w:r w:rsidR="00FD2F02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679135</w:t>
      </w: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="0032790D"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EU projekti Sveučilišta u Osijeku</w:t>
      </w:r>
    </w:p>
    <w:p w14:paraId="572B829B" w14:textId="77777777" w:rsidR="002A2B13" w:rsidRPr="00D87899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33C8020" w14:textId="30550E86" w:rsidR="00A31571" w:rsidRDefault="002A2B13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EU projekti Sveučilišta u Osijeku </w:t>
      </w:r>
      <w:r w:rsidR="00A3157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obuhvaća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projekte Sveučilišta koji su financirani iz EU sredstava. U ovoj aktivnosti planiran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prihodi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iz izvora 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pomoći EU (izvor 51) u iznosu </w:t>
      </w:r>
      <w:r w:rsidR="00A3157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436.356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za </w:t>
      </w:r>
      <w:r w:rsidR="00D87899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</w:t>
      </w:r>
      <w:r w:rsidR="00A3157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="00D87899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i </w:t>
      </w:r>
      <w:r w:rsidR="00A3157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605.712</w:t>
      </w:r>
      <w:r w:rsidR="00D87899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za 202</w:t>
      </w:r>
      <w:r w:rsidR="00A3157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="00D87899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3157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te za 2028. godinu 57.489. </w:t>
      </w:r>
    </w:p>
    <w:p w14:paraId="3B3E5DA9" w14:textId="44086AE3" w:rsidR="002A2B13" w:rsidRDefault="00A31571" w:rsidP="007F1176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Obzirom na izmjenu oznake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podizvora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pod 5100 odnosi se na europsku mrežu Sveučilišta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Colours</w:t>
      </w:r>
      <w:proofErr w:type="spell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te još jedan projekt Odjela.</w:t>
      </w:r>
      <w:r w:rsidR="007F11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Na izvoru 581 sukladno prijedlogu programskog ugovora evidentirani su iznosi </w:t>
      </w:r>
      <w:r w:rsidR="007A21DA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59.476</w:t>
      </w:r>
      <w:r w:rsidR="007A21DA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C6AEF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2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79.377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213.402</w:t>
      </w:r>
      <w:r w:rsidR="00E072FC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</w:t>
      </w:r>
      <w:r w:rsidR="002A2B13"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21DA11AB" w14:textId="45E49AE6" w:rsidR="00FF0DC6" w:rsidRDefault="00FF0DC6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E1731DC" w14:textId="0AE0A9A1" w:rsidR="00FF0DC6" w:rsidRDefault="00FF0DC6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7D83DC2" w14:textId="77777777" w:rsidR="00FF0DC6" w:rsidRPr="00D87899" w:rsidRDefault="00FF0DC6" w:rsidP="00A3157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28CD8C8B" w14:textId="77777777" w:rsidR="007F1176" w:rsidRDefault="007F1176" w:rsidP="00561B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5300C" w14:textId="11F96CBF" w:rsidR="00561BF1" w:rsidRDefault="00561BF1" w:rsidP="00561B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35B105A4" w14:textId="59E0572F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Prijedlogom financijskog </w:t>
      </w:r>
      <w:r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plan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Sveučilišta u Osijeku za razdoblje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- 202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planirana su sredstva za redovno poslovanja rektorata i stručnih službi, te odjela Sveučilišta, provođenje  studijskih programa visokog obrazovanja, projekata znanstvenoistraživačke djelatnosti, stručnih projekata za gospodarstvo, te provedbu EU projekata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prema prirodnim vrstama troškova kroz aktivnosti</w:t>
      </w:r>
    </w:p>
    <w:p w14:paraId="633230C7" w14:textId="77777777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17863815" w14:textId="7685C103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2A2B13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Pr="00F849D8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</w:t>
      </w:r>
      <w:r w:rsidR="00FD2F02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679134</w:t>
      </w:r>
      <w:r w:rsidRPr="00F3327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Programsko  financiranje javnih visokih učilišta</w:t>
      </w:r>
    </w:p>
    <w:p w14:paraId="65F655E2" w14:textId="2B6F947F" w:rsidR="00561BF1" w:rsidRPr="00547FC4" w:rsidRDefault="00561BF1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Planirani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rashodi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iznose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10.</w:t>
      </w:r>
      <w:r w:rsidR="002C08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177.868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2027. 10.</w:t>
      </w:r>
      <w:r w:rsidR="002C08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423.611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10.</w:t>
      </w:r>
      <w:r w:rsidR="002C08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592.597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2028. godinu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Sva navedena sredstva planirana su iz izvora opći prihodi i primici (izvor 11). </w:t>
      </w:r>
      <w:r w:rsidR="008549A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Osim izvora 11 planirani su rashodi i na izvoru 581 prema iznosima kako slijedi: </w:t>
      </w:r>
      <w:r w:rsidR="009006A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359.476</w:t>
      </w:r>
      <w:r w:rsidR="008549A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9006A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279.377</w:t>
      </w:r>
      <w:r w:rsidR="008549A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</w:t>
      </w:r>
      <w:r w:rsidR="009006A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213.402</w:t>
      </w:r>
      <w:r w:rsidR="008549A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te na izvoru 5011 na planirano razdoblje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200.740,00</w:t>
      </w:r>
      <w:r w:rsidR="008549A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za 2026. godinu.</w:t>
      </w:r>
    </w:p>
    <w:p w14:paraId="3649A00F" w14:textId="77777777" w:rsidR="00561BF1" w:rsidRPr="00D87899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18E3AF0" w14:textId="2FAC191D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A </w:t>
      </w:r>
      <w:r w:rsidR="00FD2F02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679135</w:t>
      </w:r>
      <w:r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- 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Programsko i ostalo financiranje javnih visokih učilišta</w:t>
      </w:r>
    </w:p>
    <w:p w14:paraId="0877DAB7" w14:textId="77777777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ab/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ovoj aktivnosti planirani su sljedeći izvori:</w:t>
      </w:r>
    </w:p>
    <w:p w14:paraId="790E4391" w14:textId="77777777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2E905C62" w14:textId="1B133609" w:rsidR="00561BF1" w:rsidRDefault="00561BF1" w:rsidP="009516E4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Vlastiti prihodi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31) –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planirani su rashodi od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80.585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eura,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2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91.240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 i za 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6C6AE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301.360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A21D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eura.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ovom izvoru evidentirani su prihodi i rashodi od tržišne djelatnosti koja se provodi na Sveučilištu</w:t>
      </w:r>
      <w:r w:rsidRPr="007A21D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4B0CC306" w14:textId="77777777" w:rsidR="009516E4" w:rsidRPr="009516E4" w:rsidRDefault="009516E4" w:rsidP="009516E4">
      <w:pPr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1159D603" w14:textId="67AE0C1A" w:rsidR="008A0895" w:rsidRPr="009516E4" w:rsidRDefault="00561BF1" w:rsidP="009516E4">
      <w:pPr>
        <w:numPr>
          <w:ilvl w:val="0"/>
          <w:numId w:val="1"/>
        </w:numPr>
        <w:tabs>
          <w:tab w:val="left" w:pos="7655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Ostali prihodi za posebne namjene (izvor 43) – za 2026.  planirani su troškovi od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850.695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2027.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857.171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za 2028. 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864.568</w:t>
      </w:r>
      <w:r w:rsidRPr="00A24DA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Na navedenom izvoru najveći dio planiranih sredstava odnosi se na školarina za prijediplomske, diplomske i doktorske studije koji se izvode na odjelima Sveučilišta i Doktorskoj školi kao te sredstva Poslovnog fonda Sveučilišta.</w:t>
      </w:r>
    </w:p>
    <w:p w14:paraId="3E73DAD3" w14:textId="06E0402D" w:rsidR="008A0895" w:rsidRPr="008A0895" w:rsidRDefault="008A0895" w:rsidP="008A0895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Ostale pomoći (izvor 50) – za 2026. planirani su troškovi od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</w:t>
      </w:r>
      <w:r w:rsidR="002C08A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00.740</w:t>
      </w:r>
      <w:r w:rsidRP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</w:t>
      </w:r>
      <w:r w:rsidR="005075E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za 2027.</w:t>
      </w:r>
      <w:r w:rsidR="006F1CA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1 </w:t>
      </w:r>
      <w:r w:rsidR="006F1CA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66.805 eura a za 2028. godinu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</w:t>
      </w:r>
      <w:r w:rsidR="006F1CA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34.997 eura</w:t>
      </w:r>
      <w:r w:rsidRP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Ovaj izvor ponajviše se odnosi na prihode od Hrvatske zaklade za znanost te prihode od ostalih proračunskih korisnika.</w:t>
      </w:r>
    </w:p>
    <w:p w14:paraId="5DB8B08C" w14:textId="77777777" w:rsidR="008A0895" w:rsidRPr="00A24DAB" w:rsidRDefault="008A0895" w:rsidP="008A0895">
      <w:pPr>
        <w:tabs>
          <w:tab w:val="left" w:pos="7655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D0A17A7" w14:textId="77777777" w:rsidR="00561BF1" w:rsidRPr="00A24DAB" w:rsidRDefault="00561BF1" w:rsidP="00561BF1">
      <w:pPr>
        <w:tabs>
          <w:tab w:val="left" w:pos="7655"/>
        </w:tabs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1E38BFF9" w14:textId="77777777" w:rsidR="00561BF1" w:rsidRDefault="00561BF1" w:rsidP="00561BF1">
      <w:pPr>
        <w:spacing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02297ED7" w14:textId="656E3A06" w:rsidR="00561BF1" w:rsidRPr="00D87899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A </w:t>
      </w:r>
      <w:r w:rsidR="00FD2F02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679135</w:t>
      </w: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Pr="00D8789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EU projekti Sveučilišta u Osijeku</w:t>
      </w:r>
    </w:p>
    <w:p w14:paraId="0CF3A73F" w14:textId="77777777" w:rsidR="00561BF1" w:rsidRPr="00D87899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C806E11" w14:textId="77777777" w:rsidR="008A0895" w:rsidRDefault="00561BF1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EU projekti Sveučilišta u Osijeku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obuhvaća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projekte Sveučilišta koji su financirani iz EU sredstava.</w:t>
      </w:r>
    </w:p>
    <w:p w14:paraId="7A63C4A6" w14:textId="1667C058" w:rsidR="00561BF1" w:rsidRDefault="00561BF1" w:rsidP="008A0895">
      <w:pPr>
        <w:spacing w:line="256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U ovoj aktivnosti planirani su rashodi iz izvora pomoći EU (izvor 51) u iznosu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750.131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 i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575.131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te za 2028. godinu </w:t>
      </w:r>
      <w:r w:rsidR="008A08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102.000 eura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607BFDF1" w14:textId="709569F7" w:rsidR="00561BF1" w:rsidRDefault="00561BF1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Obzirom na izmjenu oznake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podizvora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pod 5100 odnosi se na europsku mrežu </w:t>
      </w:r>
      <w:r w:rsidRPr="007F11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Sveučilišta </w:t>
      </w:r>
      <w:proofErr w:type="spellStart"/>
      <w:r w:rsidRPr="007F11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Colours</w:t>
      </w:r>
      <w:proofErr w:type="spellEnd"/>
      <w:r w:rsidRPr="007F11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te još jedan projekt Odjela. </w:t>
      </w:r>
    </w:p>
    <w:p w14:paraId="0FC9FBF7" w14:textId="4E141D87" w:rsidR="00561BF1" w:rsidRDefault="00561BF1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Na izvoru 581 sukladno prijedlogu programskog ugovora evidentirani su iznosi 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359.476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za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2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79.377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</w:t>
      </w:r>
      <w:bookmarkStart w:id="0" w:name="_GoBack"/>
      <w:bookmarkEnd w:id="0"/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ura i 202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185EE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213.402</w:t>
      </w:r>
      <w:r w:rsidRPr="00D878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</w:t>
      </w:r>
    </w:p>
    <w:p w14:paraId="2725B3AB" w14:textId="6C6A6CCD" w:rsidR="008A0895" w:rsidRDefault="008A0895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49DCF1D4" w14:textId="5FE921A5" w:rsidR="008A0895" w:rsidRDefault="008A0895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0DBCA0BE" w14:textId="77777777" w:rsidR="00FD319C" w:rsidRPr="00D87899" w:rsidRDefault="00FD319C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52D3FE68" w14:textId="77777777" w:rsidR="00561BF1" w:rsidRPr="006C6AEF" w:rsidRDefault="00561BF1" w:rsidP="00561BF1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29D3C728" w14:textId="77777777" w:rsidR="00561BF1" w:rsidRDefault="00561BF1" w:rsidP="00561BF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6A8A174D" w14:textId="77777777" w:rsidR="009874A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EACE579" w14:textId="6DC6251F" w:rsidR="0092655A" w:rsidRPr="007A21DA" w:rsidRDefault="009265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9C">
        <w:rPr>
          <w:rFonts w:ascii="Times New Roman" w:hAnsi="Times New Roman" w:cs="Times New Roman"/>
          <w:sz w:val="24"/>
          <w:szCs w:val="24"/>
        </w:rPr>
        <w:t>Odnosi i donosi Sveučilišta Josipa Jurja Strossmayera u Osijeku (rektorat i Odjeli</w:t>
      </w:r>
      <w:r w:rsidR="00A31571">
        <w:rPr>
          <w:rFonts w:ascii="Times New Roman" w:hAnsi="Times New Roman" w:cs="Times New Roman"/>
          <w:sz w:val="24"/>
          <w:szCs w:val="24"/>
        </w:rPr>
        <w:t>)</w:t>
      </w:r>
      <w:r w:rsidR="00FF0DC6">
        <w:rPr>
          <w:rFonts w:ascii="Times New Roman" w:hAnsi="Times New Roman" w:cs="Times New Roman"/>
          <w:sz w:val="24"/>
          <w:szCs w:val="24"/>
        </w:rPr>
        <w:t>.</w:t>
      </w:r>
    </w:p>
    <w:p w14:paraId="59EC4080" w14:textId="7F58A836" w:rsidR="00186B7B" w:rsidRDefault="002F2D7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i donosi prema izvorima za 202</w:t>
      </w:r>
      <w:r w:rsidR="00A315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godinu:</w:t>
      </w:r>
    </w:p>
    <w:p w14:paraId="57735DC4" w14:textId="7646C27C" w:rsidR="002F2D7A" w:rsidRPr="0024357C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 xml:space="preserve">Izvor 31: donos iznosi </w:t>
      </w:r>
      <w:r w:rsidR="00D87899">
        <w:rPr>
          <w:rFonts w:ascii="Times New Roman" w:hAnsi="Times New Roman" w:cs="Times New Roman"/>
          <w:sz w:val="24"/>
          <w:szCs w:val="24"/>
        </w:rPr>
        <w:t>2</w:t>
      </w:r>
      <w:r w:rsidR="00256F77">
        <w:rPr>
          <w:rFonts w:ascii="Times New Roman" w:hAnsi="Times New Roman" w:cs="Times New Roman"/>
          <w:sz w:val="24"/>
          <w:szCs w:val="24"/>
        </w:rPr>
        <w:t>10.200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 xml:space="preserve">eura a odnos </w:t>
      </w:r>
      <w:r w:rsidR="00D87899">
        <w:rPr>
          <w:rFonts w:ascii="Times New Roman" w:hAnsi="Times New Roman" w:cs="Times New Roman"/>
          <w:sz w:val="24"/>
          <w:szCs w:val="24"/>
        </w:rPr>
        <w:t>-</w:t>
      </w:r>
      <w:r w:rsidR="00256F77">
        <w:rPr>
          <w:rFonts w:ascii="Times New Roman" w:hAnsi="Times New Roman" w:cs="Times New Roman"/>
          <w:sz w:val="24"/>
          <w:szCs w:val="24"/>
        </w:rPr>
        <w:t>187.960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7FE11E49" w14:textId="7D9E48FF" w:rsidR="002F2D7A" w:rsidRPr="0024357C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 xml:space="preserve">Izvor 43: donos iznosi </w:t>
      </w:r>
      <w:r w:rsidR="00D87899">
        <w:rPr>
          <w:rFonts w:ascii="Times New Roman" w:hAnsi="Times New Roman" w:cs="Times New Roman"/>
          <w:sz w:val="24"/>
          <w:szCs w:val="24"/>
        </w:rPr>
        <w:t>1</w:t>
      </w:r>
      <w:r w:rsidR="00256F77">
        <w:rPr>
          <w:rFonts w:ascii="Times New Roman" w:hAnsi="Times New Roman" w:cs="Times New Roman"/>
          <w:sz w:val="24"/>
          <w:szCs w:val="24"/>
        </w:rPr>
        <w:t>.587.500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 xml:space="preserve">eura a odnos </w:t>
      </w:r>
      <w:r w:rsidR="0035780F" w:rsidRPr="0024357C">
        <w:rPr>
          <w:rFonts w:ascii="Times New Roman" w:hAnsi="Times New Roman" w:cs="Times New Roman"/>
          <w:sz w:val="24"/>
          <w:szCs w:val="24"/>
        </w:rPr>
        <w:t>-</w:t>
      </w:r>
      <w:r w:rsidR="00D87899">
        <w:rPr>
          <w:rFonts w:ascii="Times New Roman" w:hAnsi="Times New Roman" w:cs="Times New Roman"/>
          <w:sz w:val="24"/>
          <w:szCs w:val="24"/>
        </w:rPr>
        <w:t>1.</w:t>
      </w:r>
      <w:r w:rsidR="00242C0C">
        <w:rPr>
          <w:rFonts w:ascii="Times New Roman" w:hAnsi="Times New Roman" w:cs="Times New Roman"/>
          <w:sz w:val="24"/>
          <w:szCs w:val="24"/>
        </w:rPr>
        <w:t>651.805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="0035780F" w:rsidRPr="0024357C">
        <w:rPr>
          <w:rFonts w:ascii="Times New Roman" w:hAnsi="Times New Roman" w:cs="Times New Roman"/>
          <w:sz w:val="24"/>
          <w:szCs w:val="24"/>
        </w:rPr>
        <w:t>eura</w:t>
      </w:r>
      <w:r w:rsidRPr="0024357C">
        <w:rPr>
          <w:rFonts w:ascii="Times New Roman" w:hAnsi="Times New Roman" w:cs="Times New Roman"/>
          <w:sz w:val="24"/>
          <w:szCs w:val="24"/>
        </w:rPr>
        <w:t>.</w:t>
      </w:r>
    </w:p>
    <w:p w14:paraId="7A53E0E9" w14:textId="09C5DDD9" w:rsidR="003F1E35" w:rsidRPr="0024357C" w:rsidRDefault="003F1E35" w:rsidP="003F1E3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0</w:t>
      </w:r>
      <w:r w:rsidRPr="0024357C">
        <w:rPr>
          <w:rFonts w:ascii="Times New Roman" w:hAnsi="Times New Roman" w:cs="Times New Roman"/>
          <w:sz w:val="24"/>
          <w:szCs w:val="24"/>
        </w:rPr>
        <w:t xml:space="preserve">: donos iznosi </w:t>
      </w:r>
      <w:r w:rsidR="00242C0C">
        <w:rPr>
          <w:rFonts w:ascii="Times New Roman" w:hAnsi="Times New Roman" w:cs="Times New Roman"/>
          <w:sz w:val="24"/>
          <w:szCs w:val="24"/>
        </w:rPr>
        <w:t>17</w:t>
      </w:r>
      <w:r w:rsidR="00D87899">
        <w:rPr>
          <w:rFonts w:ascii="Times New Roman" w:hAnsi="Times New Roman" w:cs="Times New Roman"/>
          <w:sz w:val="24"/>
          <w:szCs w:val="24"/>
        </w:rPr>
        <w:t>.000</w:t>
      </w:r>
      <w:r w:rsidRPr="0024357C">
        <w:rPr>
          <w:rFonts w:ascii="Times New Roman" w:hAnsi="Times New Roman" w:cs="Times New Roman"/>
          <w:sz w:val="24"/>
          <w:szCs w:val="24"/>
        </w:rPr>
        <w:t xml:space="preserve"> eura a odnos -</w:t>
      </w:r>
      <w:r w:rsidR="00242C0C">
        <w:rPr>
          <w:rFonts w:ascii="Times New Roman" w:hAnsi="Times New Roman" w:cs="Times New Roman"/>
          <w:sz w:val="24"/>
          <w:szCs w:val="24"/>
        </w:rPr>
        <w:t>7.635</w:t>
      </w:r>
      <w:r w:rsidRPr="0024357C">
        <w:rPr>
          <w:rFonts w:ascii="Times New Roman" w:hAnsi="Times New Roman" w:cs="Times New Roman"/>
          <w:sz w:val="24"/>
          <w:szCs w:val="24"/>
        </w:rPr>
        <w:t>eura.</w:t>
      </w:r>
    </w:p>
    <w:p w14:paraId="7EE8375D" w14:textId="4B673756" w:rsidR="002F2D7A" w:rsidRPr="0024357C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1</w:t>
      </w:r>
      <w:r w:rsidRPr="0024357C">
        <w:rPr>
          <w:rFonts w:ascii="Times New Roman" w:hAnsi="Times New Roman" w:cs="Times New Roman"/>
          <w:sz w:val="24"/>
          <w:szCs w:val="24"/>
        </w:rPr>
        <w:t>: donos iznosi</w:t>
      </w:r>
      <w:r w:rsidR="00242C0C">
        <w:rPr>
          <w:rFonts w:ascii="Times New Roman" w:hAnsi="Times New Roman" w:cs="Times New Roman"/>
          <w:sz w:val="24"/>
          <w:szCs w:val="24"/>
        </w:rPr>
        <w:t xml:space="preserve"> 596.100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>eura a odnos -</w:t>
      </w:r>
      <w:r w:rsidR="00242C0C">
        <w:rPr>
          <w:rFonts w:ascii="Times New Roman" w:hAnsi="Times New Roman" w:cs="Times New Roman"/>
          <w:sz w:val="24"/>
          <w:szCs w:val="24"/>
        </w:rPr>
        <w:t>282.325</w:t>
      </w:r>
      <w:r w:rsidR="003F1E35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Pr="0024357C">
        <w:rPr>
          <w:rFonts w:ascii="Times New Roman" w:hAnsi="Times New Roman" w:cs="Times New Roman"/>
          <w:sz w:val="24"/>
          <w:szCs w:val="24"/>
        </w:rPr>
        <w:t>eura.</w:t>
      </w:r>
    </w:p>
    <w:p w14:paraId="48B3D564" w14:textId="499CD1BC" w:rsidR="00A31571" w:rsidRDefault="0035780F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 xml:space="preserve">Izvor 563: </w:t>
      </w:r>
      <w:r w:rsidR="0024357C" w:rsidRPr="0024357C">
        <w:rPr>
          <w:rFonts w:ascii="Times New Roman" w:hAnsi="Times New Roman" w:cs="Times New Roman"/>
          <w:sz w:val="24"/>
          <w:szCs w:val="24"/>
        </w:rPr>
        <w:t>donos</w:t>
      </w:r>
      <w:r w:rsidR="00D87899">
        <w:rPr>
          <w:rFonts w:ascii="Times New Roman" w:hAnsi="Times New Roman" w:cs="Times New Roman"/>
          <w:sz w:val="24"/>
          <w:szCs w:val="24"/>
        </w:rPr>
        <w:t xml:space="preserve"> i odnos iznose</w:t>
      </w:r>
      <w:r w:rsidR="0024357C" w:rsidRPr="0024357C">
        <w:rPr>
          <w:rFonts w:ascii="Times New Roman" w:hAnsi="Times New Roman" w:cs="Times New Roman"/>
          <w:sz w:val="24"/>
          <w:szCs w:val="24"/>
        </w:rPr>
        <w:t xml:space="preserve"> </w:t>
      </w:r>
      <w:r w:rsidR="00D87899">
        <w:rPr>
          <w:rFonts w:ascii="Times New Roman" w:hAnsi="Times New Roman" w:cs="Times New Roman"/>
          <w:sz w:val="24"/>
          <w:szCs w:val="24"/>
        </w:rPr>
        <w:t>8</w:t>
      </w:r>
      <w:r w:rsidR="00242C0C">
        <w:rPr>
          <w:rFonts w:ascii="Times New Roman" w:hAnsi="Times New Roman" w:cs="Times New Roman"/>
          <w:sz w:val="24"/>
          <w:szCs w:val="24"/>
        </w:rPr>
        <w:t>6.425</w:t>
      </w:r>
      <w:r w:rsidR="00D87899">
        <w:rPr>
          <w:rFonts w:ascii="Times New Roman" w:hAnsi="Times New Roman" w:cs="Times New Roman"/>
          <w:sz w:val="24"/>
          <w:szCs w:val="24"/>
        </w:rPr>
        <w:t xml:space="preserve"> i -</w:t>
      </w:r>
      <w:r w:rsidR="00242C0C">
        <w:rPr>
          <w:rFonts w:ascii="Times New Roman" w:hAnsi="Times New Roman" w:cs="Times New Roman"/>
          <w:sz w:val="24"/>
          <w:szCs w:val="24"/>
        </w:rPr>
        <w:t>86.425</w:t>
      </w:r>
      <w:r w:rsidR="0024357C" w:rsidRPr="0024357C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DA0DA34" w14:textId="299DF671" w:rsidR="0035780F" w:rsidRPr="0024357C" w:rsidRDefault="0035780F" w:rsidP="00242C0C">
      <w:pPr>
        <w:pStyle w:val="Odlomakpopisa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14:paraId="0EDFDAA1" w14:textId="588533D5" w:rsidR="002F2D7A" w:rsidRDefault="002F2D7A" w:rsidP="002F2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i donosi prema izvorima za 202</w:t>
      </w:r>
      <w:r w:rsidR="00A315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godinu:</w:t>
      </w:r>
    </w:p>
    <w:p w14:paraId="3CD30EE2" w14:textId="1F246BEC" w:rsidR="002F2D7A" w:rsidRPr="003F1E35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 xml:space="preserve">Izvor 31: donos iznosi </w:t>
      </w:r>
      <w:r w:rsidR="00242C0C">
        <w:rPr>
          <w:rFonts w:ascii="Times New Roman" w:hAnsi="Times New Roman" w:cs="Times New Roman"/>
          <w:sz w:val="24"/>
          <w:szCs w:val="24"/>
        </w:rPr>
        <w:t>187.960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 a odnos -</w:t>
      </w:r>
      <w:r w:rsidR="00242C0C">
        <w:rPr>
          <w:rFonts w:ascii="Times New Roman" w:hAnsi="Times New Roman" w:cs="Times New Roman"/>
          <w:sz w:val="24"/>
          <w:szCs w:val="24"/>
        </w:rPr>
        <w:t>167.120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07EEB704" w14:textId="0B6BF04D" w:rsidR="002F2D7A" w:rsidRPr="003F1E35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 xml:space="preserve">Izvor 43: donos iznosi </w:t>
      </w:r>
      <w:r w:rsidR="00D87899">
        <w:rPr>
          <w:rFonts w:ascii="Times New Roman" w:hAnsi="Times New Roman" w:cs="Times New Roman"/>
          <w:sz w:val="24"/>
          <w:szCs w:val="24"/>
        </w:rPr>
        <w:t>1.</w:t>
      </w:r>
      <w:r w:rsidR="00242C0C">
        <w:rPr>
          <w:rFonts w:ascii="Times New Roman" w:hAnsi="Times New Roman" w:cs="Times New Roman"/>
          <w:sz w:val="24"/>
          <w:szCs w:val="24"/>
        </w:rPr>
        <w:t>651.805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 a odnos -</w:t>
      </w:r>
      <w:r w:rsidR="00242C0C">
        <w:rPr>
          <w:rFonts w:ascii="Times New Roman" w:hAnsi="Times New Roman" w:cs="Times New Roman"/>
          <w:sz w:val="24"/>
          <w:szCs w:val="24"/>
        </w:rPr>
        <w:t>1.711.154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eura.</w:t>
      </w:r>
    </w:p>
    <w:p w14:paraId="6BEFCFCB" w14:textId="196AC526" w:rsidR="003F1E35" w:rsidRPr="003F1E35" w:rsidRDefault="003F1E35" w:rsidP="003F1E3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 w:rsidR="00242C0C">
        <w:rPr>
          <w:rFonts w:ascii="Times New Roman" w:hAnsi="Times New Roman" w:cs="Times New Roman"/>
          <w:sz w:val="24"/>
          <w:szCs w:val="24"/>
        </w:rPr>
        <w:t>7.635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 a odnos </w:t>
      </w:r>
      <w:r w:rsidR="00242C0C">
        <w:rPr>
          <w:rFonts w:ascii="Times New Roman" w:hAnsi="Times New Roman" w:cs="Times New Roman"/>
          <w:sz w:val="24"/>
          <w:szCs w:val="24"/>
        </w:rPr>
        <w:t>-2.890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A03998D" w14:textId="55C096F7" w:rsidR="002F2D7A" w:rsidRDefault="002F2D7A" w:rsidP="002F2D7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 w:rsidR="00A31571">
        <w:rPr>
          <w:rFonts w:ascii="Times New Roman" w:hAnsi="Times New Roman" w:cs="Times New Roman"/>
          <w:sz w:val="24"/>
          <w:szCs w:val="24"/>
        </w:rPr>
        <w:t>1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 w:rsidR="00242C0C">
        <w:rPr>
          <w:rFonts w:ascii="Times New Roman" w:hAnsi="Times New Roman" w:cs="Times New Roman"/>
          <w:sz w:val="24"/>
          <w:szCs w:val="24"/>
        </w:rPr>
        <w:t>282.325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 a odnos -</w:t>
      </w:r>
      <w:r w:rsidR="00242C0C">
        <w:rPr>
          <w:rFonts w:ascii="Times New Roman" w:hAnsi="Times New Roman" w:cs="Times New Roman"/>
          <w:sz w:val="24"/>
          <w:szCs w:val="24"/>
        </w:rPr>
        <w:t>312.906</w:t>
      </w:r>
      <w:r w:rsidR="003F1E35" w:rsidRPr="003F1E35">
        <w:rPr>
          <w:rFonts w:ascii="Times New Roman" w:hAnsi="Times New Roman" w:cs="Times New Roman"/>
          <w:sz w:val="24"/>
          <w:szCs w:val="24"/>
        </w:rPr>
        <w:t xml:space="preserve"> </w:t>
      </w:r>
      <w:r w:rsidRPr="003F1E35">
        <w:rPr>
          <w:rFonts w:ascii="Times New Roman" w:hAnsi="Times New Roman" w:cs="Times New Roman"/>
          <w:sz w:val="24"/>
          <w:szCs w:val="24"/>
        </w:rPr>
        <w:t>eura.</w:t>
      </w:r>
    </w:p>
    <w:p w14:paraId="2726AB56" w14:textId="4290D4B9" w:rsidR="00D87899" w:rsidRPr="0024357C" w:rsidRDefault="00D87899" w:rsidP="00D8789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 xml:space="preserve">Izvor </w:t>
      </w:r>
      <w:r w:rsidR="00A31571">
        <w:rPr>
          <w:rFonts w:ascii="Times New Roman" w:hAnsi="Times New Roman" w:cs="Times New Roman"/>
          <w:sz w:val="24"/>
          <w:szCs w:val="24"/>
        </w:rPr>
        <w:t>563</w:t>
      </w:r>
      <w:r w:rsidRPr="0024357C">
        <w:rPr>
          <w:rFonts w:ascii="Times New Roman" w:hAnsi="Times New Roman" w:cs="Times New Roman"/>
          <w:sz w:val="24"/>
          <w:szCs w:val="24"/>
        </w:rPr>
        <w:t>: donos</w:t>
      </w:r>
      <w:r>
        <w:rPr>
          <w:rFonts w:ascii="Times New Roman" w:hAnsi="Times New Roman" w:cs="Times New Roman"/>
          <w:sz w:val="24"/>
          <w:szCs w:val="24"/>
        </w:rPr>
        <w:t xml:space="preserve"> i odnos iznose</w:t>
      </w:r>
      <w:r w:rsidRPr="00243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89.608 i -89.608</w:t>
      </w:r>
      <w:r w:rsidRPr="0024357C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187D86A" w14:textId="5CC4FA76" w:rsidR="00D87899" w:rsidRPr="00A31571" w:rsidRDefault="00D87899" w:rsidP="00242C0C">
      <w:pPr>
        <w:pStyle w:val="Odlomakpopisa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14:paraId="238609A4" w14:textId="061A57C4" w:rsidR="002F2D7A" w:rsidRDefault="002F2D7A" w:rsidP="002F2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i donosi prema izvorima za 202</w:t>
      </w:r>
      <w:r w:rsidR="00A315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godinu:</w:t>
      </w:r>
    </w:p>
    <w:p w14:paraId="641A2CD0" w14:textId="16D2C540" w:rsidR="00242C0C" w:rsidRPr="003F1E35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31: donos iznosi</w:t>
      </w:r>
      <w:r>
        <w:rPr>
          <w:rFonts w:ascii="Times New Roman" w:hAnsi="Times New Roman" w:cs="Times New Roman"/>
          <w:sz w:val="24"/>
          <w:szCs w:val="24"/>
        </w:rPr>
        <w:t xml:space="preserve"> 167.120</w:t>
      </w:r>
      <w:r w:rsidRPr="003F1E35">
        <w:rPr>
          <w:rFonts w:ascii="Times New Roman" w:hAnsi="Times New Roman" w:cs="Times New Roman"/>
          <w:sz w:val="24"/>
          <w:szCs w:val="24"/>
        </w:rPr>
        <w:t xml:space="preserve">  eura a odnos </w:t>
      </w:r>
      <w:r>
        <w:rPr>
          <w:rFonts w:ascii="Times New Roman" w:hAnsi="Times New Roman" w:cs="Times New Roman"/>
          <w:sz w:val="24"/>
          <w:szCs w:val="24"/>
        </w:rPr>
        <w:t xml:space="preserve">-144.170 </w:t>
      </w:r>
      <w:r w:rsidRPr="003F1E35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5B362152" w14:textId="7A21DB2E" w:rsidR="00242C0C" w:rsidRPr="003F1E35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 xml:space="preserve">Izvor 43: donos iznosi </w:t>
      </w:r>
      <w:r>
        <w:rPr>
          <w:rFonts w:ascii="Times New Roman" w:hAnsi="Times New Roman" w:cs="Times New Roman"/>
          <w:sz w:val="24"/>
          <w:szCs w:val="24"/>
        </w:rPr>
        <w:t>1.711.154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 a odnos -</w:t>
      </w:r>
      <w:r>
        <w:rPr>
          <w:rFonts w:ascii="Times New Roman" w:hAnsi="Times New Roman" w:cs="Times New Roman"/>
          <w:sz w:val="24"/>
          <w:szCs w:val="24"/>
        </w:rPr>
        <w:t>1.764.066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6A926FF" w14:textId="47CEE7EB" w:rsidR="00242C0C" w:rsidRPr="003F1E35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>
        <w:rPr>
          <w:rFonts w:ascii="Times New Roman" w:hAnsi="Times New Roman" w:cs="Times New Roman"/>
          <w:sz w:val="24"/>
          <w:szCs w:val="24"/>
        </w:rPr>
        <w:t>2.890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 a odnos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249E72A" w14:textId="6D1993E4" w:rsidR="00242C0C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E35">
        <w:rPr>
          <w:rFonts w:ascii="Times New Roman" w:hAnsi="Times New Roman" w:cs="Times New Roman"/>
          <w:sz w:val="24"/>
          <w:szCs w:val="24"/>
        </w:rPr>
        <w:t>Izvor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1E35">
        <w:rPr>
          <w:rFonts w:ascii="Times New Roman" w:hAnsi="Times New Roman" w:cs="Times New Roman"/>
          <w:sz w:val="24"/>
          <w:szCs w:val="24"/>
        </w:rPr>
        <w:t xml:space="preserve">: donos iznosi </w:t>
      </w:r>
      <w:r>
        <w:rPr>
          <w:rFonts w:ascii="Times New Roman" w:hAnsi="Times New Roman" w:cs="Times New Roman"/>
          <w:sz w:val="24"/>
          <w:szCs w:val="24"/>
        </w:rPr>
        <w:t>312.906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 a odnos -</w:t>
      </w:r>
      <w:r>
        <w:rPr>
          <w:rFonts w:ascii="Times New Roman" w:hAnsi="Times New Roman" w:cs="Times New Roman"/>
          <w:sz w:val="24"/>
          <w:szCs w:val="24"/>
        </w:rPr>
        <w:t>268.395</w:t>
      </w:r>
      <w:r w:rsidRPr="003F1E3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83630FD" w14:textId="77777777" w:rsidR="00242C0C" w:rsidRPr="0024357C" w:rsidRDefault="00242C0C" w:rsidP="00242C0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7C">
        <w:rPr>
          <w:rFonts w:ascii="Times New Roman" w:hAnsi="Times New Roman" w:cs="Times New Roman"/>
          <w:sz w:val="24"/>
          <w:szCs w:val="24"/>
        </w:rPr>
        <w:t xml:space="preserve">Izvor </w:t>
      </w:r>
      <w:r>
        <w:rPr>
          <w:rFonts w:ascii="Times New Roman" w:hAnsi="Times New Roman" w:cs="Times New Roman"/>
          <w:sz w:val="24"/>
          <w:szCs w:val="24"/>
        </w:rPr>
        <w:t>563</w:t>
      </w:r>
      <w:r w:rsidRPr="0024357C">
        <w:rPr>
          <w:rFonts w:ascii="Times New Roman" w:hAnsi="Times New Roman" w:cs="Times New Roman"/>
          <w:sz w:val="24"/>
          <w:szCs w:val="24"/>
        </w:rPr>
        <w:t>: donos</w:t>
      </w:r>
      <w:r>
        <w:rPr>
          <w:rFonts w:ascii="Times New Roman" w:hAnsi="Times New Roman" w:cs="Times New Roman"/>
          <w:sz w:val="24"/>
          <w:szCs w:val="24"/>
        </w:rPr>
        <w:t xml:space="preserve"> i odnos iznose</w:t>
      </w:r>
      <w:r w:rsidRPr="00243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89.608 i -89.608</w:t>
      </w:r>
      <w:r w:rsidRPr="0024357C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07F9CE6" w14:textId="77777777" w:rsidR="00483100" w:rsidRDefault="0048310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2E989" w14:textId="77777777" w:rsidR="00483100" w:rsidRDefault="0048310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61FA3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31E8753A" w14:textId="77777777" w:rsidR="00186B7B" w:rsidRDefault="002F2D7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555014">
        <w:rPr>
          <w:rFonts w:ascii="Times New Roman" w:hAnsi="Times New Roman" w:cs="Times New Roman"/>
          <w:sz w:val="24"/>
          <w:szCs w:val="24"/>
        </w:rPr>
        <w:t xml:space="preserve">rektorat i </w:t>
      </w:r>
      <w:r>
        <w:rPr>
          <w:rFonts w:ascii="Times New Roman" w:hAnsi="Times New Roman" w:cs="Times New Roman"/>
          <w:sz w:val="24"/>
          <w:szCs w:val="24"/>
        </w:rPr>
        <w:t>odjele Sveučilišta Josipa Jurja Strossmayera u Osijeku</w:t>
      </w:r>
      <w:r w:rsidR="00DD2586">
        <w:rPr>
          <w:rFonts w:ascii="Times New Roman" w:hAnsi="Times New Roman" w:cs="Times New Roman"/>
          <w:sz w:val="24"/>
          <w:szCs w:val="24"/>
        </w:rPr>
        <w:t>.</w:t>
      </w:r>
      <w:r w:rsidR="009D7C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54CEC58C" w14:textId="77777777" w:rsidTr="009D7CA0">
        <w:tc>
          <w:tcPr>
            <w:tcW w:w="1838" w:type="dxa"/>
          </w:tcPr>
          <w:p w14:paraId="3DE5F0B6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504A43" w14:textId="03066191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EE2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583DC581" w14:textId="056B6129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EE2B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41C1DB6F" w14:textId="77777777" w:rsidTr="009D7CA0">
        <w:tc>
          <w:tcPr>
            <w:tcW w:w="1838" w:type="dxa"/>
          </w:tcPr>
          <w:p w14:paraId="1B7D63FA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347138AD" w14:textId="4BB363EB" w:rsidR="009D7CA0" w:rsidRDefault="001509F6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1.439.715,59</w:t>
            </w:r>
          </w:p>
        </w:tc>
        <w:tc>
          <w:tcPr>
            <w:tcW w:w="3680" w:type="dxa"/>
          </w:tcPr>
          <w:p w14:paraId="769809EE" w14:textId="55D3ABF8" w:rsidR="009D7CA0" w:rsidRDefault="001509F6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994.233.82</w:t>
            </w:r>
          </w:p>
        </w:tc>
      </w:tr>
      <w:tr w:rsidR="009D7CA0" w14:paraId="16FF8923" w14:textId="77777777" w:rsidTr="009D7CA0">
        <w:tc>
          <w:tcPr>
            <w:tcW w:w="1838" w:type="dxa"/>
          </w:tcPr>
          <w:p w14:paraId="450C016C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789F6CBD" w14:textId="79F0E36B" w:rsidR="009D7CA0" w:rsidRDefault="001509F6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6.767.14</w:t>
            </w:r>
          </w:p>
        </w:tc>
        <w:tc>
          <w:tcPr>
            <w:tcW w:w="3680" w:type="dxa"/>
          </w:tcPr>
          <w:p w14:paraId="171B8D11" w14:textId="7C980A64" w:rsidR="009D7CA0" w:rsidRDefault="001509F6" w:rsidP="007A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341,04</w:t>
            </w:r>
          </w:p>
        </w:tc>
      </w:tr>
    </w:tbl>
    <w:p w14:paraId="643CD3E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9992F2" w14:textId="77777777" w:rsidR="00DF45EE" w:rsidRDefault="00DF45EE" w:rsidP="007359D8">
      <w:pPr>
        <w:pStyle w:val="Bezproreda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</w:rPr>
        <w:t xml:space="preserve">       </w:t>
      </w:r>
      <w:r w:rsidR="007359D8">
        <w:rPr>
          <w:rFonts w:ascii="Times New Roman" w:hAnsi="Times New Roman" w:cs="Times New Roman"/>
          <w:b/>
          <w:sz w:val="24"/>
          <w:szCs w:val="24"/>
        </w:rPr>
        <w:t>Čelnik ustanove:</w:t>
      </w:r>
    </w:p>
    <w:p w14:paraId="7AA6FB78" w14:textId="62F0B87E" w:rsidR="007359D8" w:rsidRDefault="007359D8" w:rsidP="007359D8">
      <w:pPr>
        <w:pStyle w:val="Bezproreda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47E2A046" w14:textId="4F1A3F46" w:rsidR="00345F8D" w:rsidRPr="00DF45EE" w:rsidRDefault="00345F8D" w:rsidP="00345F8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Osijek, </w:t>
      </w:r>
      <w:r w:rsidR="002C08A4">
        <w:rPr>
          <w:rFonts w:ascii="Times New Roman" w:hAnsi="Times New Roman" w:cs="Times New Roman"/>
          <w:b/>
          <w:sz w:val="24"/>
          <w:szCs w:val="24"/>
        </w:rPr>
        <w:t>18. prosinca</w:t>
      </w:r>
      <w:r w:rsidR="009516E4">
        <w:rPr>
          <w:rFonts w:ascii="Times New Roman" w:hAnsi="Times New Roman" w:cs="Times New Roman"/>
          <w:b/>
          <w:sz w:val="24"/>
          <w:szCs w:val="24"/>
        </w:rPr>
        <w:t xml:space="preserve"> 2025.</w:t>
      </w:r>
    </w:p>
    <w:sectPr w:rsidR="00345F8D" w:rsidRPr="00DF45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71C29" w14:textId="77777777" w:rsidR="008B6264" w:rsidRDefault="008B6264" w:rsidP="00994B70">
      <w:pPr>
        <w:spacing w:after="0" w:line="240" w:lineRule="auto"/>
      </w:pPr>
      <w:r>
        <w:separator/>
      </w:r>
    </w:p>
  </w:endnote>
  <w:endnote w:type="continuationSeparator" w:id="0">
    <w:p w14:paraId="26ACDF95" w14:textId="77777777" w:rsidR="008B6264" w:rsidRDefault="008B6264" w:rsidP="0099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22338"/>
      <w:docPartObj>
        <w:docPartGallery w:val="Page Numbers (Bottom of Page)"/>
        <w:docPartUnique/>
      </w:docPartObj>
    </w:sdtPr>
    <w:sdtEndPr/>
    <w:sdtContent>
      <w:p w14:paraId="4E19B606" w14:textId="77777777" w:rsidR="00994B70" w:rsidRDefault="00994B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8E416" w14:textId="77777777" w:rsidR="00994B70" w:rsidRDefault="00994B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CE166" w14:textId="77777777" w:rsidR="008B6264" w:rsidRDefault="008B6264" w:rsidP="00994B70">
      <w:pPr>
        <w:spacing w:after="0" w:line="240" w:lineRule="auto"/>
      </w:pPr>
      <w:r>
        <w:separator/>
      </w:r>
    </w:p>
  </w:footnote>
  <w:footnote w:type="continuationSeparator" w:id="0">
    <w:p w14:paraId="4078547A" w14:textId="77777777" w:rsidR="008B6264" w:rsidRDefault="008B6264" w:rsidP="0099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64C9D"/>
    <w:multiLevelType w:val="hybridMultilevel"/>
    <w:tmpl w:val="6832A5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E37B2"/>
    <w:multiLevelType w:val="hybridMultilevel"/>
    <w:tmpl w:val="A9804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02B3"/>
    <w:multiLevelType w:val="hybridMultilevel"/>
    <w:tmpl w:val="7326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3DA4"/>
    <w:multiLevelType w:val="hybridMultilevel"/>
    <w:tmpl w:val="F2646A24"/>
    <w:lvl w:ilvl="0" w:tplc="48902652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0C79"/>
    <w:rsid w:val="00063FF8"/>
    <w:rsid w:val="00086D4C"/>
    <w:rsid w:val="0009064C"/>
    <w:rsid w:val="000A1A2E"/>
    <w:rsid w:val="000D0A1C"/>
    <w:rsid w:val="000F4203"/>
    <w:rsid w:val="0010020A"/>
    <w:rsid w:val="00143083"/>
    <w:rsid w:val="001509F6"/>
    <w:rsid w:val="0015413C"/>
    <w:rsid w:val="001578FC"/>
    <w:rsid w:val="0016112B"/>
    <w:rsid w:val="00185EE7"/>
    <w:rsid w:val="00186B7B"/>
    <w:rsid w:val="00191B99"/>
    <w:rsid w:val="0020454B"/>
    <w:rsid w:val="00242C0C"/>
    <w:rsid w:val="0024357C"/>
    <w:rsid w:val="00245B1D"/>
    <w:rsid w:val="00256F77"/>
    <w:rsid w:val="002579E0"/>
    <w:rsid w:val="00280C31"/>
    <w:rsid w:val="0029735D"/>
    <w:rsid w:val="00297F7A"/>
    <w:rsid w:val="002A2B13"/>
    <w:rsid w:val="002C08A4"/>
    <w:rsid w:val="002C62BC"/>
    <w:rsid w:val="002F2D7A"/>
    <w:rsid w:val="002F5870"/>
    <w:rsid w:val="00307924"/>
    <w:rsid w:val="0032790D"/>
    <w:rsid w:val="003311CD"/>
    <w:rsid w:val="00333BCE"/>
    <w:rsid w:val="00345F8D"/>
    <w:rsid w:val="0035780F"/>
    <w:rsid w:val="00370037"/>
    <w:rsid w:val="00386FD9"/>
    <w:rsid w:val="003A22DB"/>
    <w:rsid w:val="003A2369"/>
    <w:rsid w:val="003F1E35"/>
    <w:rsid w:val="00407290"/>
    <w:rsid w:val="00466878"/>
    <w:rsid w:val="004717B9"/>
    <w:rsid w:val="00472F69"/>
    <w:rsid w:val="00483100"/>
    <w:rsid w:val="004B4187"/>
    <w:rsid w:val="004B489F"/>
    <w:rsid w:val="004E681C"/>
    <w:rsid w:val="005075E4"/>
    <w:rsid w:val="0052349C"/>
    <w:rsid w:val="00547FC4"/>
    <w:rsid w:val="00555014"/>
    <w:rsid w:val="00561BF1"/>
    <w:rsid w:val="005722A3"/>
    <w:rsid w:val="005751B1"/>
    <w:rsid w:val="0058333F"/>
    <w:rsid w:val="005C1418"/>
    <w:rsid w:val="005F2651"/>
    <w:rsid w:val="00601BFB"/>
    <w:rsid w:val="00605080"/>
    <w:rsid w:val="006160C0"/>
    <w:rsid w:val="00624C16"/>
    <w:rsid w:val="00627AC9"/>
    <w:rsid w:val="00663443"/>
    <w:rsid w:val="006C6AEF"/>
    <w:rsid w:val="006F1CA7"/>
    <w:rsid w:val="0072334A"/>
    <w:rsid w:val="007359D8"/>
    <w:rsid w:val="00770F4C"/>
    <w:rsid w:val="00793098"/>
    <w:rsid w:val="00794728"/>
    <w:rsid w:val="007A21DA"/>
    <w:rsid w:val="007A7834"/>
    <w:rsid w:val="007F1176"/>
    <w:rsid w:val="008549A0"/>
    <w:rsid w:val="00886D68"/>
    <w:rsid w:val="00896F12"/>
    <w:rsid w:val="00897CD6"/>
    <w:rsid w:val="008A0895"/>
    <w:rsid w:val="008B6264"/>
    <w:rsid w:val="009006A8"/>
    <w:rsid w:val="0092655A"/>
    <w:rsid w:val="0094274B"/>
    <w:rsid w:val="009516E4"/>
    <w:rsid w:val="00975BA7"/>
    <w:rsid w:val="00983932"/>
    <w:rsid w:val="009874A2"/>
    <w:rsid w:val="00994B70"/>
    <w:rsid w:val="009C6FA5"/>
    <w:rsid w:val="009D7CA0"/>
    <w:rsid w:val="00A24DAB"/>
    <w:rsid w:val="00A31571"/>
    <w:rsid w:val="00A615B6"/>
    <w:rsid w:val="00AA4C4F"/>
    <w:rsid w:val="00AC288F"/>
    <w:rsid w:val="00AE2812"/>
    <w:rsid w:val="00AF4C86"/>
    <w:rsid w:val="00B36C26"/>
    <w:rsid w:val="00B7793B"/>
    <w:rsid w:val="00BA3018"/>
    <w:rsid w:val="00BF44C6"/>
    <w:rsid w:val="00C46B39"/>
    <w:rsid w:val="00CA12E2"/>
    <w:rsid w:val="00D019AB"/>
    <w:rsid w:val="00D45152"/>
    <w:rsid w:val="00D46E53"/>
    <w:rsid w:val="00D57EAF"/>
    <w:rsid w:val="00D75C9D"/>
    <w:rsid w:val="00D87899"/>
    <w:rsid w:val="00D91F25"/>
    <w:rsid w:val="00DA0FFD"/>
    <w:rsid w:val="00DB27C3"/>
    <w:rsid w:val="00DD2586"/>
    <w:rsid w:val="00DF45EE"/>
    <w:rsid w:val="00DF778D"/>
    <w:rsid w:val="00E072FC"/>
    <w:rsid w:val="00E34EA9"/>
    <w:rsid w:val="00E74D93"/>
    <w:rsid w:val="00EE2BE2"/>
    <w:rsid w:val="00F35843"/>
    <w:rsid w:val="00F36E46"/>
    <w:rsid w:val="00F471E7"/>
    <w:rsid w:val="00F70550"/>
    <w:rsid w:val="00F849D8"/>
    <w:rsid w:val="00FA36DB"/>
    <w:rsid w:val="00FD2F02"/>
    <w:rsid w:val="00FD319C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B8A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2B13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2F2D7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B70"/>
  </w:style>
  <w:style w:type="paragraph" w:styleId="Podnoje">
    <w:name w:val="footer"/>
    <w:basedOn w:val="Normal"/>
    <w:link w:val="Podno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16</cp:revision>
  <cp:lastPrinted>2025-10-23T08:53:00Z</cp:lastPrinted>
  <dcterms:created xsi:type="dcterms:W3CDTF">2025-10-23T09:34:00Z</dcterms:created>
  <dcterms:modified xsi:type="dcterms:W3CDTF">2026-02-20T10:02:00Z</dcterms:modified>
</cp:coreProperties>
</file>